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246BB" w14:textId="77777777" w:rsidR="00DB4170" w:rsidRDefault="00DB4170">
      <w:pPr>
        <w:jc w:val="right"/>
        <w:rPr>
          <w:rFonts w:ascii="Arial" w:hAnsi="Arial" w:cs="Arial"/>
          <w:sz w:val="22"/>
          <w:szCs w:val="22"/>
        </w:rPr>
      </w:pPr>
    </w:p>
    <w:p w14:paraId="02801CEC" w14:textId="3F5BC297" w:rsidR="00DB4170" w:rsidRDefault="00465C2A">
      <w:pPr>
        <w:jc w:val="right"/>
        <w:rPr>
          <w:rFonts w:ascii="Calibri" w:hAnsi="Calibri"/>
          <w:sz w:val="24"/>
          <w:szCs w:val="24"/>
        </w:rPr>
      </w:pPr>
      <w:r>
        <w:rPr>
          <w:rFonts w:cs="Arial"/>
          <w:b/>
          <w:bCs/>
          <w:sz w:val="24"/>
          <w:szCs w:val="24"/>
          <w:lang w:val="pt-BR"/>
        </w:rPr>
        <w:t xml:space="preserve">Acórdão nº </w:t>
      </w:r>
      <w:r w:rsidR="000C1C83">
        <w:rPr>
          <w:rFonts w:cs="Arial"/>
          <w:b/>
          <w:bCs/>
          <w:sz w:val="24"/>
          <w:szCs w:val="24"/>
          <w:lang w:val="pt-BR"/>
        </w:rPr>
        <w:t>09</w:t>
      </w:r>
      <w:r>
        <w:rPr>
          <w:rFonts w:cs="Arial"/>
          <w:b/>
          <w:bCs/>
          <w:sz w:val="24"/>
          <w:szCs w:val="24"/>
          <w:lang w:val="pt-BR"/>
        </w:rPr>
        <w:t>/2024</w:t>
      </w:r>
    </w:p>
    <w:p w14:paraId="07E24AED" w14:textId="77777777" w:rsidR="00DB4170" w:rsidRDefault="00DB4170">
      <w:pPr>
        <w:jc w:val="right"/>
        <w:rPr>
          <w:rFonts w:ascii="Calibri" w:hAnsi="Calibri" w:cs="Arial"/>
          <w:sz w:val="24"/>
          <w:szCs w:val="24"/>
        </w:rPr>
      </w:pPr>
    </w:p>
    <w:p w14:paraId="0F611AA1" w14:textId="77777777" w:rsidR="00DB4170" w:rsidRDefault="00DB4170">
      <w:pPr>
        <w:jc w:val="center"/>
        <w:rPr>
          <w:rFonts w:ascii="Calibri" w:hAnsi="Calibri" w:cs="Arial"/>
          <w:b/>
          <w:bCs/>
          <w:sz w:val="24"/>
          <w:szCs w:val="24"/>
          <w:u w:val="single"/>
          <w:lang w:val="pt-BR"/>
        </w:rPr>
      </w:pPr>
    </w:p>
    <w:p w14:paraId="1B474343" w14:textId="77777777" w:rsidR="00DB4170" w:rsidRDefault="00465C2A">
      <w:pPr>
        <w:jc w:val="center"/>
        <w:rPr>
          <w:rFonts w:ascii="Calibri" w:hAnsi="Calibri"/>
          <w:sz w:val="24"/>
          <w:szCs w:val="24"/>
        </w:rPr>
      </w:pPr>
      <w:r>
        <w:rPr>
          <w:rFonts w:cs="Arial"/>
          <w:b/>
          <w:bCs/>
          <w:sz w:val="24"/>
          <w:szCs w:val="24"/>
          <w:u w:val="single"/>
          <w:lang w:val="pt-BR"/>
        </w:rPr>
        <w:t>CONSELHO DE CONTRIBUINTES DE NOVA FRIBURGO</w:t>
      </w:r>
    </w:p>
    <w:p w14:paraId="17EC0F16" w14:textId="77777777" w:rsidR="00DB4170" w:rsidRDefault="00DB4170">
      <w:pPr>
        <w:jc w:val="center"/>
        <w:rPr>
          <w:rFonts w:ascii="Calibri" w:hAnsi="Calibri" w:cs="Arial"/>
          <w:b/>
          <w:bCs/>
          <w:sz w:val="24"/>
          <w:szCs w:val="24"/>
          <w:u w:val="single"/>
          <w:lang w:val="pt-BR"/>
        </w:rPr>
      </w:pPr>
    </w:p>
    <w:p w14:paraId="560B817D" w14:textId="77777777" w:rsidR="00DB4170" w:rsidRDefault="00DB4170">
      <w:pPr>
        <w:jc w:val="center"/>
        <w:rPr>
          <w:rFonts w:ascii="Calibri" w:hAnsi="Calibri" w:cs="Arial"/>
          <w:b/>
          <w:bCs/>
          <w:sz w:val="24"/>
          <w:szCs w:val="24"/>
          <w:u w:val="single"/>
          <w:lang w:val="pt-BR"/>
        </w:rPr>
      </w:pPr>
    </w:p>
    <w:p w14:paraId="12738D57" w14:textId="77777777" w:rsidR="00DB4170" w:rsidRDefault="00465C2A">
      <w:pPr>
        <w:jc w:val="both"/>
        <w:rPr>
          <w:rFonts w:ascii="Calibri" w:hAnsi="Calibri"/>
          <w:sz w:val="24"/>
          <w:szCs w:val="24"/>
        </w:rPr>
      </w:pPr>
      <w:r>
        <w:rPr>
          <w:rFonts w:eastAsia="SimSun" w:cs="Arial"/>
          <w:b/>
          <w:bCs/>
          <w:color w:val="000000"/>
          <w:sz w:val="24"/>
          <w:szCs w:val="24"/>
          <w:lang w:val="pt-BR"/>
        </w:rPr>
        <w:t xml:space="preserve">Processo de Impugnação: </w:t>
      </w:r>
      <w:r>
        <w:rPr>
          <w:rFonts w:eastAsia="Times New Roman" w:cs="Arial"/>
          <w:b/>
          <w:bCs/>
          <w:sz w:val="24"/>
          <w:szCs w:val="24"/>
          <w:lang w:val="pt-BR"/>
        </w:rPr>
        <w:t xml:space="preserve">nº </w:t>
      </w:r>
      <w:r>
        <w:rPr>
          <w:rFonts w:eastAsia="Times New Roman" w:cs="Cambria"/>
          <w:b/>
          <w:bCs/>
          <w:sz w:val="24"/>
          <w:szCs w:val="24"/>
          <w:lang w:val="pt-BR"/>
        </w:rPr>
        <w:t>17888/2013, 21617/18, 21620/18, 21623/18,  31632/18, 31634/18, 31635/18,  31637/18</w:t>
      </w:r>
    </w:p>
    <w:p w14:paraId="7601F434" w14:textId="77777777" w:rsidR="00DB4170" w:rsidRDefault="00465C2A">
      <w:pPr>
        <w:spacing w:line="259" w:lineRule="auto"/>
        <w:ind w:left="-1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Recorrente: </w:t>
      </w:r>
      <w:r>
        <w:rPr>
          <w:sz w:val="24"/>
          <w:szCs w:val="24"/>
        </w:rPr>
        <w:t>Município de Nova Friburgo</w:t>
      </w:r>
    </w:p>
    <w:p w14:paraId="44027889" w14:textId="77777777" w:rsidR="00DB4170" w:rsidRDefault="00465C2A">
      <w:pPr>
        <w:spacing w:after="552"/>
        <w:ind w:left="-15" w:right="2430"/>
        <w:rPr>
          <w:rFonts w:ascii="Calibri" w:hAnsi="Calibri"/>
          <w:sz w:val="24"/>
          <w:szCs w:val="24"/>
        </w:rPr>
      </w:pPr>
      <w:r>
        <w:rPr>
          <w:rFonts w:eastAsia="SimSun" w:cs="Arial"/>
          <w:b/>
          <w:bCs/>
          <w:color w:val="000000"/>
          <w:sz w:val="24"/>
          <w:szCs w:val="24"/>
          <w:lang w:val="pt-BR"/>
        </w:rPr>
        <w:t>Recorrido (a): GRANNY CONSULTORIA EMPRESARIAL LTDA Empreendimentos e Participações Ltda. Relator: Conselheiro Marcus Randazzo de Carvalho</w:t>
      </w:r>
    </w:p>
    <w:p w14:paraId="2DD6ED2C" w14:textId="77777777" w:rsidR="00DB4170" w:rsidRDefault="00DB4170">
      <w:pPr>
        <w:ind w:left="2400"/>
        <w:jc w:val="both"/>
        <w:rPr>
          <w:rFonts w:ascii="Calibri" w:hAnsi="Calibri" w:cs="Arial"/>
          <w:sz w:val="24"/>
          <w:szCs w:val="24"/>
          <w:lang w:val="pt-BR"/>
        </w:rPr>
      </w:pPr>
    </w:p>
    <w:p w14:paraId="29557CD0" w14:textId="77777777" w:rsidR="00DB4170" w:rsidRDefault="00465C2A">
      <w:pPr>
        <w:spacing w:line="360" w:lineRule="auto"/>
        <w:ind w:left="2400"/>
        <w:jc w:val="both"/>
        <w:rPr>
          <w:rFonts w:ascii="Calibri" w:hAnsi="Calibri"/>
          <w:sz w:val="24"/>
          <w:szCs w:val="24"/>
        </w:rPr>
      </w:pPr>
      <w:r>
        <w:rPr>
          <w:rFonts w:eastAsia="SimSun" w:cs="Calibri"/>
          <w:b/>
          <w:bCs/>
          <w:color w:val="000000"/>
          <w:sz w:val="24"/>
          <w:szCs w:val="24"/>
          <w:lang w:val="pt-BR"/>
        </w:rPr>
        <w:t xml:space="preserve">EMENTA: REMESSA NECESSÁRIA. </w:t>
      </w:r>
      <w:r>
        <w:rPr>
          <w:rFonts w:eastAsia="SimSun" w:cs="Arial"/>
          <w:b/>
          <w:bCs/>
          <w:color w:val="000000"/>
          <w:sz w:val="24"/>
          <w:szCs w:val="24"/>
          <w:lang w:val="pt-BR"/>
        </w:rPr>
        <w:t>INCIDÊNCIA DE IMPOSTO SOBRE A TRANSMISSÃO DE BENS IMÓVEIS (ITBI). IMUNIDADE TRIBUTÁRIA. INCIDÊNCIA DE LAUDÊMIO NA INTEGRALIZAÇÃO DE IMÓVEL. APLICAÇÃO DOS AUTOS DE INFRAÇÃO PREVISTOS NO ART. 152 DO CTM. PROVIMENTO PARCIAL.</w:t>
      </w:r>
    </w:p>
    <w:p w14:paraId="4FA20A82" w14:textId="77777777" w:rsidR="00DB4170" w:rsidRDefault="00DB4170">
      <w:pPr>
        <w:jc w:val="both"/>
        <w:rPr>
          <w:rFonts w:ascii="Calibri" w:eastAsia="SimSun" w:hAnsi="Calibri" w:cs="Arial"/>
          <w:b/>
          <w:bCs/>
          <w:color w:val="000000"/>
          <w:sz w:val="24"/>
          <w:szCs w:val="24"/>
          <w:lang w:val="pt-BR"/>
        </w:rPr>
      </w:pPr>
    </w:p>
    <w:p w14:paraId="1679F9FE" w14:textId="77777777" w:rsidR="00DB4170" w:rsidRDefault="00DB4170">
      <w:pPr>
        <w:jc w:val="both"/>
        <w:rPr>
          <w:rFonts w:ascii="Calibri" w:eastAsia="SimSun" w:hAnsi="Calibri" w:cs="Arial"/>
          <w:b/>
          <w:bCs/>
          <w:color w:val="000000"/>
          <w:sz w:val="24"/>
          <w:szCs w:val="24"/>
          <w:lang w:val="pt-BR"/>
        </w:rPr>
      </w:pPr>
    </w:p>
    <w:p w14:paraId="607833CD" w14:textId="77777777" w:rsidR="00DB4170" w:rsidRDefault="00465C2A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eastAsia="SimSun" w:cs="Arial"/>
          <w:color w:val="000000"/>
          <w:sz w:val="24"/>
          <w:szCs w:val="24"/>
          <w:lang w:val="pt-BR"/>
        </w:rPr>
        <w:t>Vistos, relatados e discutidos estes autos da impugnação nº</w:t>
      </w:r>
      <w:r>
        <w:rPr>
          <w:rFonts w:eastAsia="Times New Roman" w:cs="Arial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eastAsia="Times New Roman" w:cs="Cambria"/>
          <w:color w:val="000000"/>
          <w:sz w:val="24"/>
          <w:szCs w:val="24"/>
          <w:lang w:val="pt-BR"/>
        </w:rPr>
        <w:t>17888/2013, 21617/18, 21620/18, 21623/18,  31632/18, 31634/18, 31635/18,  31637/18</w:t>
      </w:r>
      <w:r>
        <w:rPr>
          <w:rFonts w:eastAsia="SimSun" w:cs="Arial"/>
          <w:color w:val="000000"/>
          <w:sz w:val="24"/>
          <w:szCs w:val="24"/>
          <w:lang w:val="pt-BR"/>
        </w:rPr>
        <w:t xml:space="preserve"> em que é recorrente </w:t>
      </w:r>
      <w:r>
        <w:rPr>
          <w:rFonts w:eastAsia="SimSun" w:cs="Cambria"/>
          <w:color w:val="000000"/>
          <w:sz w:val="24"/>
          <w:szCs w:val="24"/>
          <w:lang w:val="pt-BR"/>
        </w:rPr>
        <w:t xml:space="preserve">Município de Nova Friburgo </w:t>
      </w:r>
      <w:r>
        <w:rPr>
          <w:rFonts w:eastAsia="SimSun" w:cs="Arial"/>
          <w:color w:val="000000"/>
          <w:sz w:val="24"/>
          <w:szCs w:val="24"/>
          <w:lang w:val="pt-BR"/>
        </w:rPr>
        <w:t>e recorrido a GRANNY CONSULTORIA EMPRESARIAL LTDA. ACORDAM os Conselheiros que integram o Conselho de Contribuintes de Nova Friburgo, por UNANIMIDADE, , nos termos do voto do Conselheiro Relator.</w:t>
      </w:r>
    </w:p>
    <w:p w14:paraId="7E6837F4" w14:textId="77777777" w:rsidR="00DB4170" w:rsidRDefault="00DB4170">
      <w:pPr>
        <w:ind w:firstLine="708"/>
        <w:rPr>
          <w:rFonts w:ascii="Calibri" w:eastAsia="SimSun" w:hAnsi="Calibri" w:cs="Arial"/>
          <w:color w:val="000000"/>
          <w:sz w:val="24"/>
          <w:szCs w:val="24"/>
          <w:lang w:val="pt-BR"/>
        </w:rPr>
      </w:pPr>
    </w:p>
    <w:p w14:paraId="7F378ED6" w14:textId="77777777" w:rsidR="00DB4170" w:rsidRDefault="00465C2A">
      <w:pPr>
        <w:jc w:val="center"/>
        <w:rPr>
          <w:rFonts w:ascii="Calibri" w:hAnsi="Calibri"/>
          <w:sz w:val="24"/>
          <w:szCs w:val="24"/>
        </w:rPr>
      </w:pPr>
      <w:r>
        <w:rPr>
          <w:rFonts w:cs="Arial"/>
          <w:b/>
          <w:bCs/>
          <w:sz w:val="24"/>
          <w:szCs w:val="24"/>
          <w:u w:val="single"/>
          <w:lang w:val="pt-BR"/>
        </w:rPr>
        <w:t>RELATÓRIO</w:t>
      </w:r>
    </w:p>
    <w:p w14:paraId="116FAA0C" w14:textId="77777777" w:rsidR="00DB4170" w:rsidRDefault="00DB4170">
      <w:pPr>
        <w:jc w:val="center"/>
        <w:rPr>
          <w:rFonts w:ascii="Calibri" w:hAnsi="Calibri" w:cs="Cambria"/>
          <w:b/>
          <w:sz w:val="24"/>
          <w:szCs w:val="24"/>
          <w:u w:val="single"/>
          <w:lang w:val="pt-BR"/>
        </w:rPr>
      </w:pPr>
    </w:p>
    <w:p w14:paraId="03DB3D0B" w14:textId="77777777" w:rsidR="00DB4170" w:rsidRDefault="00DB4170">
      <w:pPr>
        <w:jc w:val="both"/>
        <w:rPr>
          <w:rFonts w:ascii="Calibri" w:hAnsi="Calibri" w:cs="Cambria"/>
          <w:b/>
          <w:sz w:val="24"/>
          <w:szCs w:val="24"/>
          <w:lang w:val="pt-BR"/>
        </w:rPr>
      </w:pPr>
    </w:p>
    <w:p w14:paraId="0CC188B2" w14:textId="77777777" w:rsidR="00DB4170" w:rsidRDefault="00465C2A">
      <w:pPr>
        <w:tabs>
          <w:tab w:val="left" w:pos="0"/>
        </w:tabs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cs="Cambria"/>
          <w:sz w:val="24"/>
          <w:szCs w:val="24"/>
          <w:lang w:val="pt-BR"/>
        </w:rPr>
        <w:tab/>
        <w:t>Senhora Presidente e demais membros do Conselho de Contribuintes:</w:t>
      </w:r>
    </w:p>
    <w:p w14:paraId="77A5C2E4" w14:textId="77777777" w:rsidR="00DB4170" w:rsidRDefault="00DB4170">
      <w:pPr>
        <w:pStyle w:val="Ttulo1"/>
        <w:jc w:val="both"/>
        <w:rPr>
          <w:rFonts w:ascii="Calibri" w:hAnsi="Calibri"/>
        </w:rPr>
      </w:pPr>
    </w:p>
    <w:p w14:paraId="2D32A7CE" w14:textId="77777777" w:rsidR="00DB4170" w:rsidRDefault="00465C2A">
      <w:pPr>
        <w:spacing w:line="360" w:lineRule="auto"/>
        <w:ind w:left="-15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 requerente formulou nos autos do processo nº 17888/2013 com pedido de reconhecimento de não incidência de ITBI relativo à transmissão a quatro imóveis </w:t>
      </w:r>
      <w:r>
        <w:rPr>
          <w:sz w:val="24"/>
          <w:szCs w:val="24"/>
        </w:rPr>
        <w:lastRenderedPageBreak/>
        <w:t xml:space="preserve">conforme inscrições no município: 04652.00114.000-5, 00451.00004.006-6, 00451.00004.007-2, 04822.00868.000-1 e 04822.00800-1. Em 03 de setembro de 2013, o recorrido apresentou Comprovante do Cadastro Nacional de Pessoa Jurídica, tendo como atividade principal o CNAE 70.20-4-00: Atividade de consultoria em gestão empresarial. </w:t>
      </w:r>
    </w:p>
    <w:p w14:paraId="0B5C50CC" w14:textId="77777777" w:rsidR="00DB4170" w:rsidRDefault="00DB4170">
      <w:pPr>
        <w:spacing w:line="360" w:lineRule="auto"/>
        <w:ind w:left="-15"/>
        <w:jc w:val="both"/>
        <w:rPr>
          <w:rFonts w:ascii="Calibri" w:hAnsi="Calibri"/>
          <w:sz w:val="24"/>
          <w:szCs w:val="24"/>
        </w:rPr>
      </w:pPr>
    </w:p>
    <w:p w14:paraId="6F94561B" w14:textId="77777777" w:rsidR="00DB4170" w:rsidRDefault="00465C2A">
      <w:pPr>
        <w:spacing w:line="360" w:lineRule="auto"/>
        <w:ind w:left="-15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Em cinco de março de 2013 a Procuradoria Geral do Município, conforme processo 17888/13 (pag. 25), solicitou ao requerente a apresentação dos livros ficais da empresa adquirente a fim pudesse ser analisado pelo fiscal de tributos em face o que dispõe ao artigo 193, XX. Segue transcrição do artigo:</w:t>
      </w:r>
    </w:p>
    <w:p w14:paraId="28B84C43" w14:textId="77777777" w:rsidR="00DB4170" w:rsidRDefault="00DB4170">
      <w:pPr>
        <w:spacing w:line="360" w:lineRule="auto"/>
        <w:ind w:left="-15"/>
        <w:jc w:val="both"/>
        <w:rPr>
          <w:rFonts w:ascii="Calibri" w:hAnsi="Calibri"/>
          <w:sz w:val="24"/>
          <w:szCs w:val="24"/>
        </w:rPr>
      </w:pPr>
    </w:p>
    <w:p w14:paraId="415262F5" w14:textId="77777777" w:rsidR="00DB4170" w:rsidRDefault="00465C2A">
      <w:pPr>
        <w:spacing w:afterAutospacing="1" w:line="360" w:lineRule="auto"/>
        <w:ind w:left="4252"/>
        <w:jc w:val="both"/>
        <w:rPr>
          <w:rFonts w:ascii="Calibri" w:hAnsi="Calibri"/>
          <w:sz w:val="24"/>
          <w:szCs w:val="24"/>
        </w:rPr>
      </w:pPr>
      <w:r>
        <w:rPr>
          <w:i/>
          <w:iCs/>
          <w:sz w:val="24"/>
          <w:szCs w:val="24"/>
        </w:rPr>
        <w:t>Art. 193. A incidência do Imposto Sobre a Transmissão de Bens Imóveis alcança as seguintes mutações patrimoniais:</w:t>
      </w:r>
    </w:p>
    <w:p w14:paraId="10AB28D3" w14:textId="77777777" w:rsidR="00DB4170" w:rsidRDefault="00465C2A">
      <w:pPr>
        <w:spacing w:afterAutospacing="1" w:line="360" w:lineRule="auto"/>
        <w:ind w:left="4252"/>
        <w:jc w:val="both"/>
        <w:rPr>
          <w:rFonts w:ascii="Calibri" w:hAnsi="Calibri"/>
          <w:sz w:val="24"/>
          <w:szCs w:val="24"/>
        </w:rPr>
      </w:pPr>
      <w:r>
        <w:rPr>
          <w:i/>
          <w:iCs/>
          <w:sz w:val="24"/>
          <w:szCs w:val="24"/>
        </w:rPr>
        <w:t>XX- incorporação de imóvel ou de direitos reais sobre imóveis ao patrimônio de pessoa jurídica, em realização de capital, quando a atividade preponderante da adquirente for a compra e venda, locação ou arrendamento mercantil de imóveis, ou a cessão de direitos relativos à sua aquisição;</w:t>
      </w:r>
    </w:p>
    <w:p w14:paraId="1149D5A3" w14:textId="77777777" w:rsidR="00DB4170" w:rsidRDefault="00465C2A">
      <w:pPr>
        <w:spacing w:line="360" w:lineRule="auto"/>
        <w:ind w:left="-15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8957D6B" w14:textId="77777777" w:rsidR="00DB4170" w:rsidRDefault="00465C2A">
      <w:pPr>
        <w:spacing w:line="360" w:lineRule="auto"/>
        <w:ind w:left="-15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Em resposta a Procuradoria Geral do município de Nova Friburgo, a recorrente solicitou novo pedido que consta no processo 17888/18 (pag. 27), informando não ser possível apresentar naquele momento os livros fiscais solícitos em função da data de sua abertura ter ocorrido em 20/08/2013.</w:t>
      </w:r>
    </w:p>
    <w:p w14:paraId="79F95C57" w14:textId="77777777" w:rsidR="00DB4170" w:rsidRDefault="00DB4170">
      <w:pPr>
        <w:spacing w:line="360" w:lineRule="auto"/>
        <w:ind w:left="-15"/>
        <w:jc w:val="both"/>
        <w:rPr>
          <w:rFonts w:ascii="Calibri" w:hAnsi="Calibri"/>
          <w:sz w:val="24"/>
          <w:szCs w:val="24"/>
        </w:rPr>
      </w:pPr>
    </w:p>
    <w:p w14:paraId="6E587A14" w14:textId="77777777" w:rsidR="00DB4170" w:rsidRDefault="00465C2A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Em 26 de setembro de 2013 a Procuradoria Geral do Município, conforme processo 17888/13 (pag. 28), considerou que a recente constituição da empresa da requerente a impossibilitaria de apresentar os documentos fiscais solicitados vinculando os atos ao Art.193 §3º. Segue transcrição do artigo. </w:t>
      </w:r>
    </w:p>
    <w:p w14:paraId="53503080" w14:textId="77777777" w:rsidR="00DB4170" w:rsidRDefault="00DB417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14:paraId="4661733E" w14:textId="77777777" w:rsidR="00DB4170" w:rsidRDefault="00465C2A">
      <w:pPr>
        <w:spacing w:after="431" w:line="360" w:lineRule="auto"/>
        <w:ind w:left="4252"/>
        <w:jc w:val="both"/>
        <w:rPr>
          <w:rFonts w:ascii="Calibri" w:hAnsi="Calibri"/>
          <w:sz w:val="24"/>
          <w:szCs w:val="24"/>
        </w:rPr>
      </w:pPr>
      <w:r>
        <w:rPr>
          <w:i/>
          <w:iCs/>
          <w:sz w:val="24"/>
          <w:szCs w:val="24"/>
        </w:rPr>
        <w:t>Art. 193. A incidência do Imposto Sobre a Transmissão de Bens Imóveis alcança as seguintes mutações patrimoniais:</w:t>
      </w:r>
    </w:p>
    <w:p w14:paraId="238EFC13" w14:textId="77777777" w:rsidR="00DB4170" w:rsidRDefault="00465C2A">
      <w:pPr>
        <w:spacing w:after="431" w:line="360" w:lineRule="auto"/>
        <w:ind w:left="4252"/>
        <w:jc w:val="both"/>
        <w:rPr>
          <w:rFonts w:ascii="Calibri" w:hAnsi="Calibri"/>
          <w:sz w:val="24"/>
          <w:szCs w:val="24"/>
        </w:rPr>
      </w:pPr>
      <w:r>
        <w:rPr>
          <w:i/>
          <w:iCs/>
          <w:sz w:val="24"/>
          <w:szCs w:val="24"/>
        </w:rPr>
        <w:t xml:space="preserve">§2º. Considera-se caracterizada a atividade preponderante referida no inciso XXI quando mais de 50% (cinqüenta por cento) da receita operacional da pessoa jurídica adquirente, nos 2 (dois) anos anteriores e nos 2 (dois) anos subseqüentes à aquisição, decorrer de transações mencionadas naquele dispositivo. </w:t>
      </w:r>
    </w:p>
    <w:p w14:paraId="3F69239E" w14:textId="77777777" w:rsidR="00DB4170" w:rsidRDefault="00465C2A">
      <w:pPr>
        <w:spacing w:after="431" w:line="360" w:lineRule="auto"/>
        <w:ind w:left="4252"/>
        <w:jc w:val="both"/>
        <w:rPr>
          <w:rFonts w:ascii="Calibri" w:hAnsi="Calibri"/>
          <w:sz w:val="24"/>
          <w:szCs w:val="24"/>
        </w:rPr>
      </w:pPr>
      <w:r>
        <w:rPr>
          <w:i/>
          <w:iCs/>
          <w:sz w:val="24"/>
          <w:szCs w:val="24"/>
        </w:rPr>
        <w:t xml:space="preserve">§3º. Se a pessoa jurídica adquirente iniciar suas atividades após a aquisição, ou menos de 2 (dois) anos antes dela, apurar-se-á a preponderância referida no parágrafo anterior, levando em conta os 3 (três) primeiros anos seguintes à data da aquisição. </w:t>
      </w:r>
    </w:p>
    <w:p w14:paraId="3F883F83" w14:textId="77777777" w:rsidR="00DB4170" w:rsidRDefault="00465C2A">
      <w:pPr>
        <w:spacing w:after="431" w:line="360" w:lineRule="auto"/>
        <w:ind w:left="4252"/>
        <w:jc w:val="both"/>
        <w:rPr>
          <w:rFonts w:ascii="Calibri" w:hAnsi="Calibri"/>
          <w:sz w:val="24"/>
          <w:szCs w:val="24"/>
        </w:rPr>
      </w:pPr>
      <w:r>
        <w:rPr>
          <w:i/>
          <w:iCs/>
          <w:sz w:val="24"/>
          <w:szCs w:val="24"/>
        </w:rPr>
        <w:t xml:space="preserve">§4º. Verificada a preponderância referida neste artigo, tornar-se-á devido o imposto, nos termos da lei vigente à data </w:t>
      </w:r>
      <w:r>
        <w:rPr>
          <w:i/>
          <w:iCs/>
          <w:sz w:val="24"/>
          <w:szCs w:val="24"/>
        </w:rPr>
        <w:lastRenderedPageBreak/>
        <w:t>da aquisição, sobre o valor do bem ou direito nessa data.</w:t>
      </w:r>
    </w:p>
    <w:p w14:paraId="68F959A2" w14:textId="77777777" w:rsidR="00DB4170" w:rsidRDefault="00465C2A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ab/>
        <w:t>Em 26 de novembro de 2013 a Recorrente anexou ao processo o pedido a Procuradoria Geral do Município, conforme processo 17888/13 (pag.32), da declaração de não incidência do Laudêmio na integralização dos imóveis constantes da certidão expedida pela Municipalidade. Certidão esta, anexadas ao processo 17888/13 (pag.33), demonstrando a não incidência do referido imposto, bem como posição da Procuradoria geral do Município de Nova Friburgo anexos ao mesmo processo (páginas: 34/35/36/37) acolhendo na íntegra a decisão da não incidência do Laudêmio.</w:t>
      </w:r>
    </w:p>
    <w:p w14:paraId="40F07BE9" w14:textId="77777777" w:rsidR="00DB4170" w:rsidRDefault="00DB4170">
      <w:pPr>
        <w:spacing w:line="360" w:lineRule="auto"/>
        <w:ind w:firstLine="695"/>
        <w:jc w:val="both"/>
        <w:rPr>
          <w:rFonts w:ascii="Calibri" w:hAnsi="Calibri"/>
          <w:sz w:val="24"/>
          <w:szCs w:val="24"/>
        </w:rPr>
      </w:pPr>
    </w:p>
    <w:p w14:paraId="64CE6E3D" w14:textId="77777777" w:rsidR="00DB4170" w:rsidRDefault="00465C2A">
      <w:pPr>
        <w:spacing w:line="360" w:lineRule="auto"/>
        <w:ind w:firstLine="695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Em 15/02/2017, foi realizado uma inspeção fiscal ao endereço da recorrente, sito à Rua Norival Duarte Filho nº114, área B, Conselheiro Paulino, Nova Friburgo, com o fito de notificar a recorrente a apresentar no prazo de 10 dias a documentação acordada ou seja: Declaração de Imposto de Renda Pessoa Jurídica, o demonstrativo do resultado do exercício 2014, 2015, 2016 a fim de verificar ou não a preponderância da incidência do ITBI, conforme dispõe o artigo 193, da lei </w:t>
      </w:r>
    </w:p>
    <w:p w14:paraId="5E67F6C5" w14:textId="77777777" w:rsidR="00DB4170" w:rsidRDefault="00DB4170">
      <w:pPr>
        <w:spacing w:line="360" w:lineRule="auto"/>
        <w:ind w:firstLine="695"/>
        <w:jc w:val="both"/>
        <w:rPr>
          <w:rFonts w:ascii="Calibri" w:hAnsi="Calibri"/>
          <w:sz w:val="24"/>
          <w:szCs w:val="24"/>
        </w:rPr>
      </w:pPr>
    </w:p>
    <w:p w14:paraId="5572D0E3" w14:textId="77777777" w:rsidR="00DB4170" w:rsidRDefault="00465C2A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Complementar nº25 de 2006. Feita a diligência não foi localizado o endereço e verificado ainda se tratar uma rua residencial não sendo possível encontrar o nº114, conforme Cadastro Nacional da Pessoa Jurídica anexo ao processo 17888 em 31 de setembro de 2017(pag.47). </w:t>
      </w:r>
    </w:p>
    <w:p w14:paraId="30C46ED4" w14:textId="77777777" w:rsidR="00DB4170" w:rsidRDefault="00465C2A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ab/>
      </w:r>
    </w:p>
    <w:p w14:paraId="7ADC9719" w14:textId="77777777" w:rsidR="00DB4170" w:rsidRDefault="00465C2A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ab/>
        <w:t xml:space="preserve">Em 03 de agosto de 2018 foi emitida notificação 003/2018 sobre a incidência dos devidos impostos bem como os devidos Autos e Infrações, 025/2018, 026/2018, 027/2018, 028/2018, 029/2018, todos recebidos e assinados pelo recorrente. </w:t>
      </w:r>
    </w:p>
    <w:p w14:paraId="7B9DA359" w14:textId="77777777" w:rsidR="00DB4170" w:rsidRDefault="00DB4170">
      <w:pPr>
        <w:spacing w:after="544" w:line="360" w:lineRule="auto"/>
        <w:jc w:val="both"/>
        <w:rPr>
          <w:b/>
        </w:rPr>
      </w:pPr>
    </w:p>
    <w:p w14:paraId="6990848A" w14:textId="77777777" w:rsidR="00DB4170" w:rsidRDefault="00465C2A">
      <w:pPr>
        <w:spacing w:after="544" w:line="360" w:lineRule="auto"/>
        <w:jc w:val="center"/>
        <w:rPr>
          <w:rFonts w:ascii="Calibri" w:hAnsi="Calibri"/>
          <w:sz w:val="24"/>
          <w:szCs w:val="24"/>
        </w:rPr>
      </w:pPr>
      <w:r>
        <w:rPr>
          <w:b/>
          <w:sz w:val="24"/>
          <w:szCs w:val="24"/>
        </w:rPr>
        <w:t>É o relatório.</w:t>
      </w:r>
    </w:p>
    <w:p w14:paraId="6839A209" w14:textId="77777777" w:rsidR="00DB4170" w:rsidRDefault="00465C2A">
      <w:pPr>
        <w:pStyle w:val="Ttulo1"/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VOTO </w:t>
      </w:r>
    </w:p>
    <w:p w14:paraId="060A0F6F" w14:textId="77777777" w:rsidR="00DB4170" w:rsidRDefault="00DB4170">
      <w:pPr>
        <w:pStyle w:val="Ttulo1"/>
        <w:spacing w:line="360" w:lineRule="auto"/>
        <w:jc w:val="center"/>
        <w:rPr>
          <w:rFonts w:ascii="Calibri" w:hAnsi="Calibri"/>
        </w:rPr>
      </w:pPr>
    </w:p>
    <w:p w14:paraId="4AFED8D6" w14:textId="77777777" w:rsidR="00DB4170" w:rsidRDefault="00465C2A">
      <w:pPr>
        <w:spacing w:after="359" w:line="360" w:lineRule="auto"/>
        <w:ind w:left="708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ab/>
        <w:t>Conforme relatório e análise detalhada do processo e de fato comprovação, através da documentação enviada que não existe comprovação da prestação de serviços durante os períodos de 2014 e 2016 a empresa atendeu os requisitos da lei 193, conforme transcrição abaixo:</w:t>
      </w:r>
    </w:p>
    <w:p w14:paraId="2DD15678" w14:textId="77777777" w:rsidR="00DB4170" w:rsidRDefault="00465C2A">
      <w:pPr>
        <w:spacing w:after="431" w:line="360" w:lineRule="auto"/>
        <w:ind w:left="4252"/>
        <w:jc w:val="both"/>
        <w:rPr>
          <w:rFonts w:ascii="Calibri" w:hAnsi="Calibri"/>
          <w:sz w:val="24"/>
          <w:szCs w:val="24"/>
        </w:rPr>
      </w:pPr>
      <w:r>
        <w:rPr>
          <w:i/>
          <w:iCs/>
          <w:sz w:val="24"/>
          <w:szCs w:val="24"/>
        </w:rPr>
        <w:t xml:space="preserve">§3º. Se a pessoa jurídica adquirente iniciar suas atividades após a aquisição, ou menos de 2 (dois) anos antes dela, apurar-se-á a preponderância referida no parágrafo anterior, levando em conta os 3 (três) primeiros anos seguintes à data da aquisição. </w:t>
      </w:r>
    </w:p>
    <w:p w14:paraId="52EF136F" w14:textId="77777777" w:rsidR="00DB4170" w:rsidRDefault="00465C2A">
      <w:pPr>
        <w:spacing w:after="359" w:line="360" w:lineRule="auto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ab/>
        <w:t>Já no ano de 2017, a empresa declarou que 100% da sua receita operacional foi decorrente de aluguel, descumprindo a normativa jurídica não contemplado mais o benefício da lei.</w:t>
      </w:r>
    </w:p>
    <w:p w14:paraId="38C95AFF" w14:textId="77777777" w:rsidR="00DB4170" w:rsidRDefault="00465C2A">
      <w:pPr>
        <w:spacing w:after="359" w:line="360" w:lineRule="auto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ab/>
        <w:t xml:space="preserve">Quanto as possíveis irregularidades encontradas em função da empresa ter por vários anos apenas um cliente, são fatos indícios, mas não provas contundentes. </w:t>
      </w:r>
    </w:p>
    <w:p w14:paraId="1FB4C207" w14:textId="77777777" w:rsidR="00DB4170" w:rsidRDefault="00465C2A">
      <w:pPr>
        <w:spacing w:after="359" w:line="360" w:lineRule="auto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ab/>
        <w:t>Gostaria ainda de ressaltar o importante papel dos agentes fiscalizadores, que em várias páginas deste exaustivo processo nº 21620 (pag.16, 17, 18, 19) tiveram sua reputação denegrida muito embora estivessem apenas cumprindo o seu papel como servidor público e agentes de finalização. Para não tanger dúvidas segue abaixo Art. 364 do Código Tributário Municipal transcrito abaixo:</w:t>
      </w:r>
    </w:p>
    <w:p w14:paraId="748454C4" w14:textId="77777777" w:rsidR="00DB4170" w:rsidRDefault="00465C2A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3B4D552" w14:textId="77777777" w:rsidR="00DB4170" w:rsidRDefault="00465C2A">
      <w:pPr>
        <w:spacing w:after="431" w:line="360" w:lineRule="auto"/>
        <w:ind w:left="4252" w:right="850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 Art. 364. Os servidores e agentes públicos envolvidos no </w:t>
      </w:r>
      <w:r>
        <w:rPr>
          <w:sz w:val="24"/>
          <w:szCs w:val="24"/>
        </w:rPr>
        <w:lastRenderedPageBreak/>
        <w:t xml:space="preserve">Processo Administrativo Tributário Fiscal têm o dever de zelar pela correta aplicação da legislação, pugnando pela defesa do interesse público, da legalidade e da preservação da ordem jurídica. </w:t>
      </w:r>
    </w:p>
    <w:p w14:paraId="1B6876D8" w14:textId="77777777" w:rsidR="00DB4170" w:rsidRDefault="00465C2A">
      <w:pPr>
        <w:spacing w:after="431" w:line="360" w:lineRule="auto"/>
        <w:ind w:right="850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ab/>
        <w:t>Desta forma, dou provimento parcial a recorrente, uma vez que me parece uma decisão contábil erronia o que comprometeu a imunidade dos tributos conforme já demonstrado. Solicito que os autos de infrações sejam aplicados, CÓDIGO TRIBUTÁRIO DO MUNICÍPIO DE NOVA FRIBURGO LEI COMPLEMENTAR Nº 124/18, Art.152 abaixo colacionado:</w:t>
      </w:r>
    </w:p>
    <w:p w14:paraId="11A3FDF6" w14:textId="77777777" w:rsidR="00DB4170" w:rsidRDefault="00465C2A">
      <w:pPr>
        <w:spacing w:after="431" w:line="360" w:lineRule="auto"/>
        <w:ind w:left="4252" w:right="850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Art. 152. Sem prejuízo das demais sanções pecuniárias previstas nesta Lei, o descumprimento das obrigações quanto ao ITBI, sujeita o infrator às seguintes penalidades: </w:t>
      </w:r>
    </w:p>
    <w:p w14:paraId="5B527067" w14:textId="77777777" w:rsidR="00DB4170" w:rsidRDefault="00465C2A">
      <w:pPr>
        <w:numPr>
          <w:ilvl w:val="0"/>
          <w:numId w:val="1"/>
        </w:numPr>
        <w:spacing w:after="5" w:line="360" w:lineRule="auto"/>
        <w:ind w:left="1701" w:right="848" w:hanging="10"/>
        <w:jc w:val="both"/>
        <w:rPr>
          <w:rFonts w:ascii="Calibri" w:hAnsi="Calibri"/>
          <w:sz w:val="24"/>
          <w:szCs w:val="24"/>
        </w:rPr>
      </w:pPr>
      <w:r>
        <w:rPr>
          <w:i/>
          <w:iCs/>
          <w:sz w:val="24"/>
          <w:szCs w:val="24"/>
        </w:rPr>
        <w:t xml:space="preserve">- 50% (cinquenta por cento) do valor do imposto devido, caso não solicite a Guia para pagamento do tributo no prazo previsto no §4º do artigo 145; </w:t>
      </w:r>
    </w:p>
    <w:p w14:paraId="04AEF571" w14:textId="77777777" w:rsidR="00DB4170" w:rsidRDefault="00465C2A">
      <w:pPr>
        <w:spacing w:line="360" w:lineRule="auto"/>
        <w:ind w:left="1701"/>
        <w:jc w:val="both"/>
        <w:rPr>
          <w:rFonts w:ascii="Calibri" w:hAnsi="Calibri"/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</w:p>
    <w:p w14:paraId="470A913E" w14:textId="77777777" w:rsidR="00DB4170" w:rsidRDefault="00465C2A">
      <w:pPr>
        <w:numPr>
          <w:ilvl w:val="0"/>
          <w:numId w:val="1"/>
        </w:numPr>
        <w:spacing w:after="5" w:line="360" w:lineRule="auto"/>
        <w:ind w:left="1701" w:right="848" w:hanging="10"/>
        <w:jc w:val="both"/>
        <w:rPr>
          <w:rFonts w:ascii="Calibri" w:hAnsi="Calibri"/>
          <w:sz w:val="24"/>
          <w:szCs w:val="24"/>
        </w:rPr>
      </w:pPr>
      <w:r>
        <w:rPr>
          <w:i/>
          <w:iCs/>
          <w:sz w:val="24"/>
          <w:szCs w:val="24"/>
        </w:rPr>
        <w:t xml:space="preserve">- 80% (oitenta por cento) do valor do imposto, caso ocorra omissão ou inexatidão fraudulenta de declaração relativa a elementos que possam influir no cálculo do imposto ou que resultem na não incidência, isenção ou suspensão de pagamento; </w:t>
      </w:r>
    </w:p>
    <w:p w14:paraId="7B72E344" w14:textId="77777777" w:rsidR="00DB4170" w:rsidRDefault="00465C2A">
      <w:pPr>
        <w:spacing w:line="360" w:lineRule="auto"/>
        <w:ind w:left="1701"/>
        <w:jc w:val="both"/>
        <w:rPr>
          <w:rFonts w:ascii="Calibri" w:hAnsi="Calibri"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 xml:space="preserve"> </w:t>
      </w:r>
    </w:p>
    <w:p w14:paraId="0185AF8D" w14:textId="77777777" w:rsidR="00DB4170" w:rsidRDefault="00465C2A">
      <w:pPr>
        <w:numPr>
          <w:ilvl w:val="0"/>
          <w:numId w:val="1"/>
        </w:numPr>
        <w:spacing w:after="5" w:line="360" w:lineRule="auto"/>
        <w:ind w:left="1701" w:right="848" w:hanging="10"/>
        <w:jc w:val="both"/>
        <w:rPr>
          <w:rFonts w:ascii="Calibri" w:hAnsi="Calibri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- 65% (sessenta e cinco por cento) do valor do imposto, no caso do inciso anterior, quando não fique caracterizada a intenção fraudulenta; </w:t>
      </w:r>
    </w:p>
    <w:p w14:paraId="00AC73D7" w14:textId="77777777" w:rsidR="00DB4170" w:rsidRDefault="00465C2A">
      <w:pPr>
        <w:spacing w:line="360" w:lineRule="auto"/>
        <w:ind w:left="1701"/>
        <w:jc w:val="both"/>
        <w:rPr>
          <w:rFonts w:ascii="Calibri" w:hAnsi="Calibri"/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</w:p>
    <w:p w14:paraId="72E4BABF" w14:textId="77777777" w:rsidR="00DB4170" w:rsidRDefault="00465C2A">
      <w:pPr>
        <w:numPr>
          <w:ilvl w:val="0"/>
          <w:numId w:val="1"/>
        </w:numPr>
        <w:spacing w:after="5" w:line="360" w:lineRule="auto"/>
        <w:ind w:left="1701" w:right="848" w:hanging="10"/>
        <w:jc w:val="both"/>
        <w:rPr>
          <w:rFonts w:ascii="Calibri" w:hAnsi="Calibri"/>
          <w:sz w:val="24"/>
          <w:szCs w:val="24"/>
        </w:rPr>
      </w:pPr>
      <w:r>
        <w:rPr>
          <w:i/>
          <w:iCs/>
          <w:sz w:val="24"/>
          <w:szCs w:val="24"/>
        </w:rPr>
        <w:t xml:space="preserve">- 100% (cem por cento) do valor do imposto, para o descumprimento das disposições contidas no artigo 139 desta Lei. </w:t>
      </w:r>
    </w:p>
    <w:p w14:paraId="4BDD2D34" w14:textId="77777777" w:rsidR="00DB4170" w:rsidRDefault="00465C2A">
      <w:pPr>
        <w:spacing w:line="360" w:lineRule="auto"/>
        <w:ind w:left="1701"/>
        <w:jc w:val="both"/>
        <w:rPr>
          <w:rFonts w:ascii="Calibri" w:hAnsi="Calibri"/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</w:p>
    <w:p w14:paraId="7F1C0020" w14:textId="77777777" w:rsidR="00DB4170" w:rsidRDefault="00465C2A">
      <w:pPr>
        <w:spacing w:line="360" w:lineRule="auto"/>
        <w:ind w:left="1701" w:right="848" w:firstLine="710"/>
        <w:jc w:val="both"/>
        <w:rPr>
          <w:rFonts w:ascii="Calibri" w:hAnsi="Calibri"/>
          <w:sz w:val="24"/>
          <w:szCs w:val="24"/>
        </w:rPr>
      </w:pPr>
      <w:r>
        <w:rPr>
          <w:i/>
          <w:iCs/>
          <w:sz w:val="24"/>
          <w:szCs w:val="24"/>
        </w:rPr>
        <w:t xml:space="preserve"> Parágrafo único. O atraso no recolhimento do ITBI sofrerá ainda multa de mora de 2% (dois por cento) ao mês ou fração, até o limite de 20% (vinte por cento), juros de mora de 1% (um por cento) ao mês e atualização monetária do débito. </w:t>
      </w:r>
    </w:p>
    <w:p w14:paraId="703DBC77" w14:textId="77777777" w:rsidR="00DB4170" w:rsidRDefault="00465C2A">
      <w:pPr>
        <w:spacing w:line="360" w:lineRule="auto"/>
        <w:jc w:val="center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B74105A" w14:textId="77777777" w:rsidR="00DB4170" w:rsidRDefault="00465C2A">
      <w:pPr>
        <w:spacing w:after="359" w:line="360" w:lineRule="auto"/>
        <w:jc w:val="center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É como </w:t>
      </w:r>
      <w:r>
        <w:rPr>
          <w:b/>
          <w:sz w:val="24"/>
          <w:szCs w:val="24"/>
        </w:rPr>
        <w:t>voto.</w:t>
      </w:r>
    </w:p>
    <w:p w14:paraId="7EA40E8E" w14:textId="77777777" w:rsidR="00DB4170" w:rsidRDefault="00465C2A">
      <w:pPr>
        <w:spacing w:after="1006" w:line="360" w:lineRule="auto"/>
        <w:ind w:left="10" w:right="2" w:hanging="10"/>
        <w:jc w:val="center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Nova Friburgo, 13/08/2024</w:t>
      </w:r>
    </w:p>
    <w:p w14:paraId="76CF50D3" w14:textId="77777777" w:rsidR="00DB4170" w:rsidRDefault="00465C2A">
      <w:pPr>
        <w:spacing w:line="360" w:lineRule="auto"/>
        <w:ind w:left="10" w:right="3" w:hanging="10"/>
        <w:jc w:val="center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Cons. Marcus Randazzo de Carvalho</w:t>
      </w:r>
    </w:p>
    <w:p w14:paraId="0A5C9695" w14:textId="77777777" w:rsidR="00DB4170" w:rsidRDefault="00465C2A">
      <w:pPr>
        <w:tabs>
          <w:tab w:val="left" w:pos="0"/>
        </w:tabs>
        <w:spacing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eastAsia="Times New Roman" w:cs="Arial"/>
          <w:sz w:val="24"/>
          <w:szCs w:val="24"/>
          <w:lang w:val="pt-BR"/>
        </w:rPr>
        <w:t>Membro do Conselho de Contribuintes</w:t>
      </w:r>
    </w:p>
    <w:sectPr w:rsidR="00DB4170">
      <w:headerReference w:type="default" r:id="rId7"/>
      <w:pgSz w:w="11906" w:h="16838"/>
      <w:pgMar w:top="1440" w:right="1800" w:bottom="1440" w:left="1800" w:header="72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C1C7E" w14:textId="77777777" w:rsidR="00465C2A" w:rsidRDefault="00465C2A">
      <w:r>
        <w:separator/>
      </w:r>
    </w:p>
  </w:endnote>
  <w:endnote w:type="continuationSeparator" w:id="0">
    <w:p w14:paraId="6A7D5A94" w14:textId="77777777" w:rsidR="00465C2A" w:rsidRDefault="00465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</w:font>
  <w:font w:name="Tahoma">
    <w:panose1 w:val="020B0604030504040204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B611F" w14:textId="77777777" w:rsidR="00465C2A" w:rsidRDefault="00465C2A">
      <w:r>
        <w:separator/>
      </w:r>
    </w:p>
  </w:footnote>
  <w:footnote w:type="continuationSeparator" w:id="0">
    <w:p w14:paraId="50F4E923" w14:textId="77777777" w:rsidR="00465C2A" w:rsidRDefault="00465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80A25" w14:textId="77777777" w:rsidR="00DB4170" w:rsidRDefault="00465C2A">
    <w:pPr>
      <w:pStyle w:val="Cabealho"/>
      <w:jc w:val="center"/>
    </w:pPr>
    <w:r>
      <w:rPr>
        <w:noProof/>
      </w:rPr>
      <w:drawing>
        <wp:inline distT="0" distB="0" distL="0" distR="0" wp14:anchorId="7368C790" wp14:editId="15BCD7BA">
          <wp:extent cx="4657725" cy="947420"/>
          <wp:effectExtent l="0" t="0" r="0" b="0"/>
          <wp:docPr id="1" name="Figura11" descr="Conselho de contribuintes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1" descr="Conselho de contribuintes-0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947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6362B"/>
    <w:multiLevelType w:val="multilevel"/>
    <w:tmpl w:val="11043478"/>
    <w:lvl w:ilvl="0">
      <w:start w:val="1"/>
      <w:numFmt w:val="upperRoman"/>
      <w:lvlText w:val="%1"/>
      <w:lvlJc w:val="left"/>
      <w:pPr>
        <w:tabs>
          <w:tab w:val="num" w:pos="0"/>
        </w:tabs>
        <w:ind w:left="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6B543F3A"/>
    <w:multiLevelType w:val="multilevel"/>
    <w:tmpl w:val="CD68A2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81246632">
    <w:abstractNumId w:val="0"/>
  </w:num>
  <w:num w:numId="2" w16cid:durableId="93089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170"/>
    <w:rsid w:val="000C1C83"/>
    <w:rsid w:val="00465C2A"/>
    <w:rsid w:val="00D667D9"/>
    <w:rsid w:val="00DB4170"/>
    <w:rsid w:val="00DB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5AC1"/>
  <w15:docId w15:val="{8EA9EEA5-0204-4D34-932F-1F2D9EF5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bidi="ar-SA"/>
    </w:rPr>
  </w:style>
  <w:style w:type="paragraph" w:styleId="Ttulo1">
    <w:name w:val="heading 1"/>
    <w:basedOn w:val="Normal"/>
    <w:qFormat/>
    <w:pPr>
      <w:ind w:left="822"/>
      <w:outlineLvl w:val="0"/>
    </w:pPr>
    <w:rPr>
      <w:rFonts w:ascii="Cambria" w:eastAsia="Cambria" w:hAnsi="Cambria" w:cs="Cambria"/>
      <w:b/>
      <w:bCs/>
      <w:sz w:val="24"/>
      <w:szCs w:val="24"/>
      <w:u w:val="single" w:color="00000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qFormat/>
    <w:rPr>
      <w:rFonts w:ascii="Tahoma" w:eastAsiaTheme="minorEastAsia" w:hAnsi="Tahoma" w:cs="Tahoma"/>
      <w:sz w:val="16"/>
      <w:szCs w:val="16"/>
      <w:lang w:val="en-US" w:eastAsia="zh-CN"/>
    </w:rPr>
  </w:style>
  <w:style w:type="character" w:customStyle="1" w:styleId="WW8Num1z0">
    <w:name w:val="WW8Num1z0"/>
    <w:qFormat/>
  </w:style>
  <w:style w:type="character" w:customStyle="1" w:styleId="WW8Num3z0">
    <w:name w:val="WW8Num3z0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  <w:style w:type="numbering" w:customStyle="1" w:styleId="WW8Num1">
    <w:name w:val="WW8Num1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7</Pages>
  <Words>1288</Words>
  <Characters>6960</Characters>
  <Application>Microsoft Office Word</Application>
  <DocSecurity>0</DocSecurity>
  <Lines>58</Lines>
  <Paragraphs>16</Paragraphs>
  <ScaleCrop>false</ScaleCrop>
  <Company/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WPS_1679592460</dc:creator>
  <dc:description/>
  <cp:lastModifiedBy>Rhafael Barroso</cp:lastModifiedBy>
  <cp:revision>13</cp:revision>
  <cp:lastPrinted>2024-08-20T10:10:00Z</cp:lastPrinted>
  <dcterms:created xsi:type="dcterms:W3CDTF">2023-11-22T14:03:00Z</dcterms:created>
  <dcterms:modified xsi:type="dcterms:W3CDTF">2025-11-24T13:34:00Z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C81219BF6D054B59B0F35296722BA2C7_13</vt:lpwstr>
  </property>
  <property fmtid="{D5CDD505-2E9C-101B-9397-08002B2CF9AE}" pid="3" name="KSOProductBuildVer">
    <vt:lpwstr>1046-12.2.0.13306</vt:lpwstr>
  </property>
</Properties>
</file>