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/>
        <w:ind w:left="0" w:right="0" w:firstLine="0"/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  <w:lang w:val="pt-BR"/>
        </w:rPr>
        <w:t>ESTUDOS PRELIMINARES</w:t>
      </w: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1140"/>
        <w:jc w:val="both"/>
        <w:textAlignment w:val="auto"/>
        <w:rPr>
          <w:rFonts w:ascii="Calibri" w:hAnsi="Calibri"/>
          <w:sz w:val="24"/>
          <w:szCs w:val="24"/>
        </w:rPr>
      </w:pPr>
    </w:p>
    <w:p>
      <w:pPr>
        <w:pStyle w:val="14"/>
        <w:widowControl/>
        <w:overflowPunct w:val="0"/>
        <w:bidi w:val="0"/>
        <w:spacing w:before="0" w:after="0" w:line="240" w:lineRule="auto"/>
        <w:ind w:left="-398" w:leftChars="-181" w:right="0" w:firstLine="1140" w:firstLineChars="0"/>
        <w:jc w:val="both"/>
        <w:textAlignment w:val="auto"/>
        <w:rPr>
          <w:rFonts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ascii="Calibri" w:hAnsi="Calibri"/>
          <w:b w:val="0"/>
          <w:bCs/>
          <w:sz w:val="24"/>
          <w:szCs w:val="24"/>
          <w:lang w:val="pt-BR"/>
        </w:rPr>
        <w:t xml:space="preserve">O presente documento visa analisar a viabilidade da presente contratação, bem como compilar as demandas e os elementos essenciais </w:t>
      </w:r>
      <w:r>
        <w:rPr>
          <w:rFonts w:ascii="Calibri" w:hAnsi="Calibri" w:cs="Times New Roman"/>
          <w:b w:val="0"/>
          <w:bCs/>
          <w:sz w:val="24"/>
          <w:szCs w:val="24"/>
          <w:lang w:val="pt-BR"/>
        </w:rPr>
        <w:t xml:space="preserve">que servirão para compor o </w:t>
      </w:r>
      <w:r>
        <w:rPr>
          <w:rFonts w:ascii="Calibri" w:hAnsi="Calibri"/>
          <w:b w:val="0"/>
          <w:bCs/>
          <w:sz w:val="24"/>
          <w:szCs w:val="24"/>
          <w:lang w:val="pt-BR"/>
        </w:rPr>
        <w:t xml:space="preserve"> Termo de Referência ou projeto Básico, de forma a melhor atender às necessidades da Administração.</w:t>
      </w:r>
    </w:p>
    <w:p>
      <w:pPr>
        <w:widowControl/>
        <w:overflowPunct w:val="0"/>
        <w:bidi w:val="0"/>
        <w:spacing w:before="0" w:after="0" w:line="276" w:lineRule="auto"/>
        <w:ind w:left="0" w:right="0" w:firstLine="708"/>
        <w:jc w:val="both"/>
        <w:textAlignment w:val="auto"/>
        <w:rPr>
          <w:b/>
          <w:bCs w:val="0"/>
          <w:position w:val="0"/>
          <w:sz w:val="16"/>
          <w:szCs w:val="16"/>
          <w:vertAlign w:val="baseline"/>
          <w:lang w:val="pt-BR"/>
        </w:rPr>
      </w:pPr>
      <w:r>
        <w:rPr>
          <w:rFonts w:ascii="Times New Roman" w:hAnsi="Times New Roman" w:cs="Times New Roman"/>
          <w:b w:val="0"/>
          <w:bCs/>
          <w:sz w:val="16"/>
          <w:szCs w:val="16"/>
          <w:lang w:val="pt-BR"/>
        </w:rPr>
        <w:t xml:space="preserve"> </w:t>
      </w:r>
    </w:p>
    <w:tbl>
      <w:tblPr>
        <w:tblStyle w:val="10"/>
        <w:tblW w:w="9644" w:type="dxa"/>
        <w:tblInd w:w="-267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798"/>
        <w:gridCol w:w="6846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4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DADOS DO PROCESSO: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rFonts w:hint="default"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/>
                <w:b/>
                <w:bCs/>
                <w:position w:val="0"/>
                <w:sz w:val="24"/>
                <w:szCs w:val="24"/>
                <w:vertAlign w:val="baseline"/>
                <w:lang w:val="pt-BR"/>
              </w:rPr>
              <w:t>Nº do Processo: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</w:t>
            </w:r>
            <w:r>
              <w:rPr>
                <w:rFonts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xxx/20</w:t>
            </w:r>
            <w:r>
              <w:rPr>
                <w:rFonts w:hint="default"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Estudo Preliminar nº</w:t>
            </w: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684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</w:t>
            </w:r>
            <w:r>
              <w:rPr>
                <w:rFonts w:ascii="Calibri" w:hAnsi="Calibri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xxx/20</w:t>
            </w:r>
            <w:r>
              <w:rPr>
                <w:rFonts w:hint="default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Secretaria</w:t>
            </w: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:</w:t>
            </w:r>
          </w:p>
        </w:tc>
        <w:tc>
          <w:tcPr>
            <w:tcW w:w="684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rFonts w:hint="default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Secretaria de .....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Setor / Órgão: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Subsecretaria de..... / setor de....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Objeto: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bCs w:val="0"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Exemplo 1</w:t>
            </w:r>
            <w:r>
              <w:rPr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: Trata-se de estudos preliminares referentes à contratação/aquisição de  [Definir Serviço ou aquisição].</w:t>
            </w:r>
          </w:p>
          <w:p>
            <w:pPr>
              <w:pStyle w:val="14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6"/>
                <w:szCs w:val="6"/>
              </w:rPr>
            </w:pPr>
          </w:p>
          <w:p>
            <w:pPr>
              <w:pStyle w:val="14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bCs w:val="0"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Exemplo 2</w:t>
            </w:r>
            <w:r>
              <w:rPr>
                <w:b w:val="0"/>
                <w:bCs/>
                <w:i/>
                <w:i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: Os estudos preliminares aqui resumidos tem por objeto o subsídio básico para a elaboração de Termo de Referência (TR) para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Equipe de Planejamento: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b/>
                <w:bCs w:val="0"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Gestor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: &lt;nome</w:t>
            </w:r>
            <w:r>
              <w:rPr>
                <w:rFonts w:hint="default"/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 xml:space="preserve"> - matr.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&gt;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b/>
                <w:bCs w:val="0"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Apoio Técnico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: &lt;nome</w:t>
            </w:r>
            <w:r>
              <w:rPr>
                <w:rFonts w:hint="default"/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 xml:space="preserve"> - matr.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&gt;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7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73" w:firstLine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overflowPunct w:val="0"/>
              <w:bidi w:val="0"/>
              <w:spacing w:before="0" w:after="0" w:line="240" w:lineRule="auto"/>
              <w:ind w:left="0" w:right="26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b/>
                <w:bCs w:val="0"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De acordo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 xml:space="preserve">: &lt;nome </w:t>
            </w:r>
            <w:r>
              <w:rPr>
                <w:rFonts w:hint="default"/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 xml:space="preserve">do 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secretário</w:t>
            </w:r>
            <w:r>
              <w:rPr>
                <w:rFonts w:hint="default"/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(a) - matr.:</w:t>
            </w:r>
            <w:r>
              <w:rPr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t>&gt;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NECESSIDADE DE CONTRATAÇÃO: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spacing w:before="0" w:after="0" w:line="240" w:lineRule="auto"/>
              <w:ind w:left="3540" w:right="189" w:firstLine="0"/>
              <w:jc w:val="both"/>
              <w:rPr>
                <w:sz w:val="4"/>
                <w:szCs w:val="4"/>
              </w:rPr>
            </w:pPr>
          </w:p>
          <w:p>
            <w:pPr>
              <w:pStyle w:val="16"/>
              <w:spacing w:before="0" w:after="0" w:line="240" w:lineRule="auto"/>
              <w:ind w:left="354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4"/>
                <w:szCs w:val="4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</w:rPr>
              <w:t>(Justificativa da necessidade da contratação conforme Documento de Formalização da Demanda elaborado pela unidade requisitante)</w:t>
            </w: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  <w:t xml:space="preserve">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4"/>
                <w:szCs w:val="4"/>
                <w:lang w:val="pt-BR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4"/>
                <w:szCs w:val="4"/>
                <w:lang w:val="pt-BR"/>
              </w:rPr>
            </w:pPr>
          </w:p>
          <w:p>
            <w:pPr>
              <w:widowControl w:val="0"/>
              <w:suppressAutoHyphens/>
              <w:overflowPunct w:val="0"/>
              <w:bidi w:val="0"/>
              <w:spacing w:before="0" w:after="0"/>
              <w:ind w:left="3540" w:right="189" w:firstLine="0"/>
              <w:jc w:val="both"/>
              <w:rPr>
                <w:rFonts w:ascii="Calibri" w:hAnsi="Calibri"/>
                <w:color w:val="17375E" w:themeColor="text2" w:themeShade="BF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7375E" w:themeColor="text2" w:themeShade="BF"/>
                <w:sz w:val="22"/>
                <w:szCs w:val="22"/>
              </w:rPr>
              <w:t>“ O gestor público deve explicitar qual a necessidade da solução que será contratada; afirmando que buscou a otimização dos processos de trabalho e que, mesmo assim, a aquisição se faz necessária (BRASIL, 2014b). “</w:t>
            </w: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6"/>
                <w:szCs w:val="6"/>
              </w:rPr>
            </w:pP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C0000"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/>
                <w:bCs/>
                <w:i/>
                <w:iCs/>
                <w:color w:val="CC0000"/>
                <w:sz w:val="22"/>
                <w:szCs w:val="22"/>
                <w:lang w:val="pt-BR"/>
              </w:rPr>
              <w:t>emplo 1</w:t>
            </w:r>
            <w:r>
              <w:rPr>
                <w:rFonts w:ascii="Calibri" w:hAnsi="Calibri" w:cs="Calibri"/>
                <w:i/>
                <w:iCs/>
                <w:color w:val="CC0000"/>
                <w:sz w:val="22"/>
                <w:szCs w:val="22"/>
                <w:lang w:val="pt-BR"/>
              </w:rPr>
              <w:t xml:space="preserve"> : </w:t>
            </w:r>
            <w:r>
              <w:rPr>
                <w:rFonts w:ascii="Calibri" w:hAnsi="Calibri" w:cs="Calibri"/>
                <w:i/>
                <w:iCs/>
                <w:color w:val="CC0000"/>
                <w:sz w:val="22"/>
                <w:szCs w:val="22"/>
              </w:rPr>
              <w:t xml:space="preserve">O presente documento, denominado Estudos Preliminares, é elaborado em atendimento às disposições contidas na Instrução Normativa nº 5, de 25 de maio de 2017, expedida pelo Secretário de xxxxxxxxxxxxx , especialmente para </w:t>
            </w: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C0000"/>
                <w:sz w:val="22"/>
                <w:szCs w:val="22"/>
              </w:rPr>
              <w:t>Os trabalhos aqui desenvolvidos visam subsidiar futuro procedimento licitatório, a ser processado por Pregão Eletrônico, para selecionar empresa que preste serviço solução integrada de captação e registro de dados destinados à emissão de Carteiras de xxxxxxxxxxxxx.</w:t>
            </w: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6"/>
                <w:szCs w:val="6"/>
              </w:rPr>
            </w:pP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</w:p>
          <w:p>
            <w:pPr>
              <w:spacing w:before="0" w:after="0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C0000"/>
                <w:sz w:val="22"/>
                <w:szCs w:val="22"/>
              </w:rPr>
              <w:t>Exemplo 2</w:t>
            </w:r>
            <w:r>
              <w:rPr>
                <w:rFonts w:ascii="Calibri" w:hAnsi="Calibri" w:cs="Calibri"/>
                <w:i/>
                <w:iCs/>
                <w:color w:val="CC0000"/>
                <w:sz w:val="22"/>
                <w:szCs w:val="22"/>
              </w:rPr>
              <w:t xml:space="preserve">: </w:t>
            </w:r>
            <w:r>
              <w:rPr>
                <w:rFonts w:ascii="Calibri" w:hAnsi="Calibri" w:cs="Times New Roman"/>
                <w:i/>
                <w:iCs/>
                <w:color w:val="CC0000"/>
                <w:sz w:val="22"/>
                <w:szCs w:val="22"/>
              </w:rPr>
              <w:t>A aquisição ora pretendida é necessária para…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sz w:val="4"/>
                <w:szCs w:val="4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17375E" w:themeColor="text2" w:themeShade="BF"/>
                <w:sz w:val="4"/>
                <w:szCs w:val="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2.1. Análise da Contratação Anterior: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7375E" w:themeColor="text2" w:themeShade="BF"/>
                <w:sz w:val="22"/>
                <w:szCs w:val="22"/>
              </w:rPr>
              <w:t>(se houver)</w:t>
            </w:r>
          </w:p>
          <w:p>
            <w:pPr>
              <w:pStyle w:val="16"/>
              <w:spacing w:before="0" w:after="0" w:line="240" w:lineRule="auto"/>
              <w:ind w:left="2832" w:right="189" w:firstLine="0"/>
              <w:jc w:val="both"/>
              <w:rPr>
                <w:rFonts w:ascii="Calibri" w:hAnsi="Calibri"/>
                <w:sz w:val="4"/>
                <w:szCs w:val="4"/>
              </w:rPr>
            </w:pPr>
          </w:p>
          <w:p>
            <w:pPr>
              <w:pStyle w:val="16"/>
              <w:spacing w:before="0" w:after="0" w:line="240" w:lineRule="auto"/>
              <w:ind w:left="2920" w:leftChars="0" w:right="189" w:firstLine="0" w:firstLineChars="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</w:rPr>
              <w:t>(Analisar a contratação anterior, ou a série histórica, se houver, para identificar as inconsistências ocorridas nas fases do Planejamento da Contratação, Seleção do Fornecedor e Gestão do Contrato, com a finalidade de prevenir a ocorrência dessas nos ulteriores Termos de Referência ou Projetos Básicos)</w:t>
            </w:r>
          </w:p>
          <w:p>
            <w:pPr>
              <w:pStyle w:val="16"/>
              <w:spacing w:before="0" w:after="0" w:line="240" w:lineRule="auto"/>
              <w:ind w:left="2832" w:right="189" w:firstLine="0"/>
              <w:jc w:val="both"/>
              <w:rPr>
                <w:sz w:val="6"/>
                <w:szCs w:val="6"/>
              </w:rPr>
            </w:pP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150"/>
              <w:ind w:left="2920" w:leftChars="0" w:right="189" w:firstLine="0" w:firstLineChars="0"/>
              <w:jc w:val="both"/>
            </w:pPr>
            <w:r>
              <w:rPr>
                <w:rFonts w:cs="Calibri"/>
                <w:b/>
                <w:bCs/>
                <w:color w:val="17375E" w:themeColor="text2" w:themeShade="BF"/>
                <w:sz w:val="20"/>
                <w:szCs w:val="20"/>
              </w:rPr>
              <w:t>art 24 II - referência a outros instrumentos de planejamento do órgão ou entidade, se houver;</w:t>
            </w:r>
          </w:p>
        </w:tc>
      </w:tr>
    </w:tbl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p>
      <w:pPr>
        <w:spacing w:before="0" w:after="0"/>
        <w:rPr>
          <w:sz w:val="6"/>
          <w:szCs w:val="6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REQUISITOS DA CONTRATAÇÃO: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spacing w:before="0" w:after="0" w:line="240" w:lineRule="auto"/>
              <w:ind w:left="2919" w:leftChars="1327" w:right="189" w:firstLine="0" w:firstLineChars="0"/>
              <w:jc w:val="both"/>
              <w:rPr>
                <w:color w:val="17375E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75E" w:themeColor="text2" w:themeShade="BF"/>
                <w:sz w:val="22"/>
                <w:szCs w:val="22"/>
              </w:rPr>
              <w:t>Elencar os requisitos necessários ao atendimento da necessidade (Item 3.3, ‘a’, anexo III, IN nº 05/2017);</w:t>
            </w:r>
          </w:p>
          <w:p>
            <w:pPr>
              <w:pStyle w:val="16"/>
              <w:spacing w:before="0" w:after="0" w:line="240" w:lineRule="auto"/>
              <w:ind w:left="2919" w:leftChars="1327" w:right="189" w:firstLine="0" w:firstLineChars="0"/>
              <w:jc w:val="both"/>
              <w:rPr>
                <w:color w:val="17375E" w:themeColor="text2" w:themeShade="BF"/>
                <w:sz w:val="22"/>
                <w:szCs w:val="22"/>
              </w:rPr>
            </w:pPr>
          </w:p>
          <w:p>
            <w:pPr>
              <w:pStyle w:val="16"/>
              <w:spacing w:before="0" w:after="0" w:line="240" w:lineRule="auto"/>
              <w:ind w:left="2919" w:leftChars="1327" w:right="189" w:firstLine="0" w:firstLineChars="0"/>
              <w:jc w:val="both"/>
              <w:rPr>
                <w:color w:val="17375E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75E" w:themeColor="text2" w:themeShade="BF"/>
                <w:sz w:val="22"/>
                <w:szCs w:val="22"/>
              </w:rPr>
              <w:t>São os requisitos que a solução contratada deverá atender, incluindo os requisitos mínimos de qualidade, de modo a possibilitar a seleção da proposta mais vantajosa mediante competição. Os requisitos devem ser indispensáveis ao atendimento da necessidade que originou a contratação, devendo ser elencados os requisitos necessários (não mais que o necessário, para não restringir a competição indevidamente) e suficientes (não menos que o necessário, de forma que o objeto não fique precisamente definido</w:t>
            </w:r>
          </w:p>
          <w:p>
            <w:pPr>
              <w:pStyle w:val="16"/>
              <w:spacing w:before="0" w:after="0" w:line="240" w:lineRule="auto"/>
              <w:ind w:left="2124" w:right="189" w:firstLine="0"/>
              <w:jc w:val="both"/>
              <w:rPr>
                <w:sz w:val="22"/>
                <w:szCs w:val="22"/>
              </w:rPr>
            </w:pPr>
          </w:p>
          <w:p>
            <w:pPr>
              <w:pStyle w:val="16"/>
              <w:spacing w:before="0" w:after="0" w:line="240" w:lineRule="auto"/>
              <w:ind w:left="0" w:right="189" w:firstLine="0"/>
              <w:jc w:val="both"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CC0000"/>
                <w:sz w:val="18"/>
                <w:szCs w:val="18"/>
              </w:rPr>
              <w:t xml:space="preserve"> Ex</w:t>
            </w:r>
            <w:r>
              <w:rPr>
                <w:rFonts w:hint="default" w:ascii="Calibri" w:hAnsi="Calibri"/>
                <w:b/>
                <w:bCs/>
                <w:color w:val="CC0000"/>
                <w:sz w:val="18"/>
                <w:szCs w:val="18"/>
                <w:lang w:val="pt-BR"/>
              </w:rPr>
              <w:t>emplo</w:t>
            </w:r>
            <w:r>
              <w:rPr>
                <w:rFonts w:ascii="Calibri" w:hAnsi="Calibri"/>
                <w:b/>
                <w:bCs/>
                <w:color w:val="CC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CC0000"/>
                <w:sz w:val="18"/>
                <w:szCs w:val="18"/>
              </w:rPr>
              <w:t xml:space="preserve">: </w:t>
            </w:r>
            <w:r>
              <w:rPr>
                <w:rFonts w:ascii="Calibri" w:hAnsi="Calibri" w:cs="Times New Roman"/>
                <w:b w:val="0"/>
                <w:bCs w:val="0"/>
                <w:color w:val="CC0000"/>
                <w:sz w:val="18"/>
                <w:szCs w:val="18"/>
              </w:rPr>
              <w:t>A seguir são descritos os requisitos necessários ao atendimento da necessidade:</w:t>
            </w:r>
          </w:p>
          <w:p>
            <w:pPr>
              <w:pStyle w:val="14"/>
              <w:numPr>
                <w:ilvl w:val="2"/>
                <w:numId w:val="2"/>
              </w:numPr>
              <w:spacing w:before="0" w:after="0" w:line="276" w:lineRule="auto"/>
              <w:ind w:left="0" w:right="0" w:firstLine="360"/>
              <w:contextualSpacing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color w:val="FF0000"/>
                <w:sz w:val="18"/>
                <w:szCs w:val="18"/>
              </w:rPr>
              <w:t>xxxxxxxxx</w:t>
            </w:r>
            <w:r>
              <w:rPr>
                <w:rFonts w:ascii="Calibri" w:hAnsi="Calibri" w:cs="Times New Roman"/>
                <w:sz w:val="18"/>
                <w:szCs w:val="18"/>
              </w:rPr>
              <w:t>;</w:t>
            </w:r>
          </w:p>
          <w:p>
            <w:pPr>
              <w:pStyle w:val="14"/>
              <w:numPr>
                <w:ilvl w:val="2"/>
                <w:numId w:val="2"/>
              </w:numPr>
              <w:spacing w:before="0" w:after="0" w:line="276" w:lineRule="auto"/>
              <w:ind w:left="0" w:right="0" w:firstLine="36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xxxxxxxx;</w:t>
            </w:r>
          </w:p>
          <w:p>
            <w:pPr>
              <w:pStyle w:val="14"/>
              <w:numPr>
                <w:ilvl w:val="2"/>
                <w:numId w:val="2"/>
              </w:numPr>
              <w:spacing w:before="0" w:after="0" w:line="276" w:lineRule="auto"/>
              <w:ind w:left="0" w:right="0" w:firstLine="36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CC0000"/>
                <w:sz w:val="18"/>
                <w:szCs w:val="18"/>
              </w:rPr>
              <w:t>Ex</w:t>
            </w:r>
            <w:r>
              <w:rPr>
                <w:rFonts w:hint="default" w:ascii="Calibri" w:hAnsi="Calibri"/>
                <w:b/>
                <w:bCs/>
                <w:color w:val="CC0000"/>
                <w:sz w:val="18"/>
                <w:szCs w:val="18"/>
                <w:lang w:val="pt-BR"/>
              </w:rPr>
              <w:t>emplo</w:t>
            </w:r>
            <w:r>
              <w:rPr>
                <w:rFonts w:ascii="Calibri" w:hAnsi="Calibri"/>
                <w:b/>
                <w:bCs/>
                <w:color w:val="CC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CC0000"/>
                <w:sz w:val="18"/>
                <w:szCs w:val="18"/>
              </w:rPr>
              <w:t xml:space="preserve">:  IV – DOS REQUISITOS DA CONTRATAÇÃO.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 xml:space="preserve">IV-1 – Requisitos necessários ao atendimento da necessidade.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 xml:space="preserve">A empresa ou o consórcio de empresas que vier a vencer o processo licitatório deverá prover solução integrada de captação e registro de dados destinados à emissão de Carteiras de Registro Nacional Migratório (CRNM) e de Documentos Provisórios de Registro Nacional Migratório (DPRNM), conforme adiante se detalhará, emitindo-os de forma automatizada, com entrega dos documentos em até 10 dias, contados da data da disponibilização dos arquivos para produção, nas unidades da Polícia Federal, podendo o prazo ser dilatado para até 30 dias, caso a pouca demanda pelo documento em determinada localidade justifique a remessa mensal.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>IV-2 – Natureza continuada do serviço a ser contratado 14. Importa registro que o serviço a ser contratado é de execução contínua, tendo em vista que sua paralisação, acaso ocorra, acarretará incalculável prejuízo ao bom andamento das atividades ….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>3.1. Natureza da Contratação: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>No caso de serviços, definir e justificar se o serviço possui natureza continuada ou não (Item 3.3, ‘b’, anexo III, IN nº 05/2017);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  <w:r>
              <w:rPr>
                <w:rFonts w:ascii="Calibri" w:hAnsi="Calibri"/>
                <w:color w:val="CC0000"/>
                <w:sz w:val="18"/>
                <w:szCs w:val="18"/>
              </w:rPr>
              <w:t>Art. 15. Os serviços prestados de forma contínua são aqueles que, pela sua essencialidade, visam atender à necessidade pública de forma permanente e contínua, por mais de um exercício financeiro, assegurando a integridade do patrimônio público ou o funcionamento das atividades finalísticas do órgão ou entidade, de modo que sua interrupção possa comprometer a prestação de um serviço público ou o cumprimento da missão institucional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18"/>
                <w:szCs w:val="18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Parágrafo único. A contratação de serviços prestados de forma contínua deverá observar os prazos previstos no art. 57 da Lei nº 8.666, de 1993.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Art. 16. Os serviços considerados não continuados ou contratados por escopo são aqueles que impõem aos contratados o dever de realizar a prestação de um serviço específico em um período predeterminado, podendo ser prorrogado, desde que justificadamente, pelo prazo necessário à conclusão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3.2. Duração Inicial do Contrato: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Avaliar a duração inicial do contrato de prestação de serviços de natureza continuada, que poderá, excepcionalmente, ser superior a 12 meses, e justificar a decisão (Item 3.3, ‘d’, anexo III, IN nº 05/2017);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 xml:space="preserve">A regra é a contratação por prazo de 12 meses, com sucessivas prorrogações, a contratação por prazo maior de 12 meses somente deve ser adotada em casos justificados, onde fique demonstrado o benefício advindo desse ato para a Administração.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Ex 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IV-4 – Duração inicial do contrato de prestação de serviços de natureza continuada, podendo, excepcionalmente, ser superior a 12 meses .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 xml:space="preserve">Muito embora ordinariamente os contratos comumente sejam celebrados com duração de até 12 (doze) meses, prorrogáveis até 60 (sessenta), o contrato em questão – solução integrada de captação e registro de dados destinados à emissão de CRNM e DPRNM – não pode ser considerado simples e requer altíssimos investimentos e contraprestação em forma de pagamentos à empresa (ou ao consórcio) que vier a ser contratada(o), razão pela qual, no intuito de se obter preços e condições mais vantajosos à Administração, a duração do contrato a ser firmado deverá ser de 30 (trinta) meses, a contar da publicação de seu extrato no DOU, podendo ser prorrogado uma vez por igual período, respeitando-se o limite legal dos sessenta meses (art. 57, inciso II da Lei n° 8.666/1993).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 xml:space="preserve">Com esse prazo de duração do contrato (30 meses, prorrogável uma vez), espera-se que as empresas sintam-se mais seguras na continuidade do serviço contratado, garantindo-se a restituição do quantum fora investido na implementação da solução integrada de captação e registro de dados destinados à emissão de CRNM, fazendo com que o certame seja mais concorrido e os preços mais vantajosos à Administração, em razão da alta competitividade que se almeja na licitação. 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3.3. Sustentabilidade: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(Incluir, se possível, critérios e praticas de sustentabilidade que devem ser veiculados como especificação técnica do objeto ou como obrigação da contratada)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flexibilização destes requisitos (Item 3.3, ‘f’, anexo III, IN nº 05/201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3.4. Transição Contratual: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Identificar a necessidade, ou não, de a contratada promover a transição contratual com transferência de conhecimento, tecnologia e técnicas empregadas (Item 3.3, ‘e’, anexo III, IN nº 05/2017);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rFonts w:ascii="Calibri" w:hAnsi="Calibri"/>
                <w:color w:val="CC0000"/>
                <w:sz w:val="20"/>
                <w:szCs w:val="20"/>
              </w:rPr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3.5. Relevância dos requisitos estipulados:</w:t>
            </w: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</w:pPr>
            <w:r>
              <w:rPr>
                <w:rFonts w:ascii="Calibri" w:hAnsi="Calibri"/>
                <w:color w:val="CC0000"/>
                <w:sz w:val="20"/>
                <w:szCs w:val="20"/>
              </w:rPr>
              <w:t>Com base no Levantamento de Mercado (item 7 do presente documento), caso a quantidade de fornecedores seja considerada restrita, verificar se os requisitos que limitam a participação são realmente indispensáveis, de modo a avaliar a retirada ou flexibilização destes requisitos.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ESTIMATIVA DAS QUANTIDADES: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numPr>
                <w:ilvl w:val="0"/>
                <w:numId w:val="3"/>
              </w:numPr>
              <w:spacing w:before="0" w:after="0" w:line="276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Definir e documentar o método para a estimativa das quantidades a serem contratadas; (Item 3.4, ‘a’, anexo III, IN nº 05/2017);Definir e documentar o método para a estimativa das quantidades a serem contratadas (Item 3.4, ‘a’, anexo III, IN nº 05/2017);</w:t>
            </w:r>
          </w:p>
          <w:p>
            <w:pPr>
              <w:pStyle w:val="16"/>
              <w:numPr>
                <w:ilvl w:val="0"/>
                <w:numId w:val="3"/>
              </w:numPr>
              <w:spacing w:before="0" w:after="0" w:line="276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 xml:space="preserve">art 24, </w:t>
            </w:r>
          </w:p>
          <w:p>
            <w:pPr>
              <w:pStyle w:val="16"/>
              <w:numPr>
                <w:ilvl w:val="0"/>
                <w:numId w:val="3"/>
              </w:numPr>
              <w:spacing w:before="0" w:after="0" w:line="276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Utilizar informações das contratações anteriores, se for o caso;(Item 3.4, ‘b’, anexo III, IN nº 05/2017);</w:t>
            </w:r>
          </w:p>
          <w:p>
            <w:pPr>
              <w:pStyle w:val="16"/>
              <w:numPr>
                <w:ilvl w:val="0"/>
                <w:numId w:val="3"/>
              </w:numPr>
              <w:spacing w:before="0" w:after="0" w:line="276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Incluir nos autos as memórias de cálculo e os documentos que lhe dão suporte; (Item 3.4, ‘c’, anexo III, IN nº 05/2017);</w:t>
            </w:r>
          </w:p>
          <w:p>
            <w:pPr>
              <w:pStyle w:val="16"/>
              <w:numPr>
                <w:ilvl w:val="0"/>
                <w:numId w:val="3"/>
              </w:numPr>
              <w:spacing w:before="0" w:after="0" w:line="276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Para os casos em que houver a necessidade de materiais específicos, cuja previsibilidade não se mostra possível antes da contratação, avaliar a inclusão de mecanismos para tratar essa questão.(Item 3.4, ‘d’, anexo III, IN nº 05/2017)</w:t>
            </w: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  <w:t>.</w:t>
            </w: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 xml:space="preserve"> </w:t>
            </w:r>
          </w:p>
          <w:p>
            <w:pPr>
              <w:pStyle w:val="16"/>
              <w:spacing w:before="0" w:after="0" w:line="240" w:lineRule="auto"/>
              <w:ind w:left="420" w:right="189" w:hanging="420"/>
              <w:jc w:val="both"/>
              <w:rPr>
                <w:sz w:val="20"/>
                <w:szCs w:val="20"/>
              </w:rPr>
            </w:pP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26"/>
              </w:tabs>
              <w:spacing w:before="0" w:after="0" w:line="276" w:lineRule="auto"/>
              <w:ind w:left="0" w:right="0" w:firstLine="0"/>
              <w:contextualSpacing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3.1Definição do método para a estimativa das quantidades:</w:t>
            </w:r>
          </w:p>
          <w:p>
            <w:pPr>
              <w:pStyle w:val="14"/>
              <w:spacing w:before="0" w:after="0" w:line="276" w:lineRule="auto"/>
              <w:ind w:left="360" w:right="0" w:firstLine="0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commentRangeStart w:id="0"/>
            <w:r>
              <w:rPr>
                <w:rFonts w:ascii="Calibri" w:hAnsi="Calibri" w:cs="Times New Roman"/>
                <w:sz w:val="22"/>
                <w:szCs w:val="22"/>
              </w:rPr>
              <w:t>As quantidades a serem adquiridas foram definidas com base....</w:t>
            </w:r>
            <w:commentRangeEnd w:id="0"/>
            <w:r>
              <w:rPr>
                <w:rFonts w:ascii="Calibri" w:hAnsi="Calibri" w:cs="Times New Roman"/>
                <w:sz w:val="22"/>
                <w:szCs w:val="22"/>
              </w:rPr>
              <w:commentReference w:id="0"/>
            </w:r>
          </w:p>
          <w:p>
            <w:pPr>
              <w:pStyle w:val="14"/>
              <w:spacing w:before="0" w:after="0" w:line="276" w:lineRule="auto"/>
              <w:ind w:left="1080" w:right="0" w:firstLine="0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>
            <w:pPr>
              <w:pStyle w:val="14"/>
              <w:numPr>
                <w:ilvl w:val="0"/>
                <w:numId w:val="0"/>
              </w:numPr>
              <w:spacing w:before="0" w:after="0" w:line="276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3.2 Informações das aquisições anteriores (se houver):</w:t>
            </w:r>
          </w:p>
          <w:p>
            <w:pPr>
              <w:pStyle w:val="14"/>
              <w:numPr>
                <w:ilvl w:val="0"/>
                <w:numId w:val="0"/>
              </w:numPr>
              <w:spacing w:before="0" w:after="0" w:line="276" w:lineRule="auto"/>
              <w:ind w:left="0" w:right="0" w:firstLine="360"/>
              <w:contextualSpacing/>
              <w:jc w:val="both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  3.2.1 Para a aquisição em tela, foram utilizadas as informações de aquisições anteriores no tocante às....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LEVANTAMENTO DE MERCADO E JUSTIFICATIVA DA ESCOLHA DO TIPO DE SOLUÇÃO A CONTRATAR: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4326" w:hRule="atLeast"/>
        </w:trPr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2919" w:leftChars="1327" w:firstLine="0" w:firstLineChars="0"/>
              <w:jc w:val="both"/>
              <w:rPr>
                <w:rFonts w:ascii="Calibri" w:hAnsi="Calibri" w:cs="Times New Roman"/>
                <w:color w:val="17375E" w:themeColor="text2" w:themeShade="BF"/>
                <w:sz w:val="22"/>
                <w:szCs w:val="22"/>
              </w:rPr>
            </w:pPr>
            <w:commentRangeStart w:id="1"/>
            <w:r>
              <w:rPr>
                <w:rFonts w:ascii="Calibri" w:hAnsi="Calibri" w:cs="Times New Roman"/>
                <w:color w:val="17375E" w:themeColor="text2" w:themeShade="BF"/>
                <w:sz w:val="22"/>
                <w:szCs w:val="22"/>
              </w:rPr>
              <w:t xml:space="preserve">A Pesquisa de preços será realizada previamente pelo Setor/Unidade </w:t>
            </w:r>
            <w:r>
              <w:rPr>
                <w:rFonts w:ascii="Calibri" w:hAnsi="Calibri" w:cs="Times New Roman"/>
                <w:i/>
                <w:color w:val="17375E" w:themeColor="text2" w:themeShade="BF"/>
                <w:sz w:val="22"/>
                <w:szCs w:val="22"/>
              </w:rPr>
              <w:t>(Solicitante)</w:t>
            </w:r>
            <w:r>
              <w:rPr>
                <w:rFonts w:ascii="Calibri" w:hAnsi="Calibri" w:cs="Times New Roman"/>
                <w:color w:val="17375E" w:themeColor="text2" w:themeShade="BF"/>
                <w:sz w:val="22"/>
                <w:szCs w:val="22"/>
              </w:rPr>
              <w:t>, como condição indispensável para o confronto e exame de propostas em licitação. Serão utilizados como referenciais de pesquisa mercadológica as fontes elencadas no Regulamento de Compras da EBSERH e Legislações Correlatas sendo que o preço de referência aceitável para a aquisição será subsidiado pela média obtida na pesquisa mercadológica.</w:t>
            </w:r>
            <w:commentRangeEnd w:id="1"/>
            <w:r>
              <w:rPr>
                <w:rFonts w:ascii="Calibri" w:hAnsi="Calibri" w:cs="Times New Roman"/>
                <w:color w:val="17375E" w:themeColor="text2" w:themeShade="BF"/>
                <w:sz w:val="22"/>
                <w:szCs w:val="22"/>
              </w:rPr>
              <w:commentReference w:id="1"/>
            </w:r>
          </w:p>
          <w:p>
            <w:pPr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="Calibri" w:hAnsi="Calibri" w:cs="Times New Roman"/>
                <w:sz w:val="6"/>
                <w:szCs w:val="6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  <w:t>Justificativa da escolha do tipo de solução a contratar</w:t>
            </w: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  <w:t>Considerar diferentes fontes, podendo ser analisadas contratações similares feitas por outros órgãos , com objetivo de identificar a existência de novas metodologias, tecnologias ou inovações que melhor atendam às necessidades da Administração;(Item 3.5, ‘a’, anexo III, IN nº 05/2017);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  <w:lang w:val="pt-BR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  <w:t>Em situações específicas ou nos casos de complexidade técnica do objeto, poderá ser realizada audiência pública para coleta de contribuições a fim de definir a solução mais adequada visando preservar a relação custo-benefício.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  <w:lang w:val="pt-BR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</w:pP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  <w:lang w:val="pt-BR"/>
              </w:rPr>
              <w:t>Em situações específicas ou nos casos de complexidade técnica do objeto, poderá ser realizada audiência pública para coleta de contribuições a fim de definir a solução mais adequada visando preservar a relação custo-benefício (Item 3.5, ‘b’, anexo III, IN nº 05/2017).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ESTIMATIVAS DE PREÇOS OU PREÇOS REFERENCIAIS: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2"/>
                <w:szCs w:val="22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  <w:t>Preços referenciais</w:t>
            </w: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</w:rPr>
              <w:t>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  <w:t>Definir e documentar o método para estimativa de preços ou meios de previsão de preços referenciais, devendo seguir as diretrizes de normativo publicado pela Secretaria de Gestão do Ministério do Planejamento, Desenvolvimento e Gestão;(Item 3.6, ‘a’, anexo III, IN nº 05/2017);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  <w:lang w:val="pt-BR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  <w:t xml:space="preserve">Incluir nos autos as memórias de cálculo da estimativa de preços ou dos preços referenciais e os documentos que lhe dão suporte (Item 3.6, ‘b’, anexo III, IN nº 05/2017); 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0" w:right="189" w:firstLine="0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  <w:lang w:val="pt-BR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before="0" w:after="0" w:line="240" w:lineRule="auto"/>
              <w:ind w:left="420" w:right="189" w:hanging="420"/>
              <w:jc w:val="both"/>
              <w:rPr>
                <w:rFonts w:ascii="Calibri" w:hAnsi="Calibri" w:cs="Calibri"/>
                <w:i/>
                <w:iCs/>
                <w:color w:val="17375E" w:themeColor="text2" w:themeShade="BF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  <w:t>Observa-se ainda o teor do art. 3 da IN SLTI/MPOG n° 05/2014: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920" w:leftChars="0" w:right="189" w:firstLine="0" w:firstLineChars="0"/>
              <w:jc w:val="both"/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i/>
                <w:iCs/>
                <w:color w:val="17375E" w:themeColor="text2" w:themeShade="BF"/>
                <w:sz w:val="22"/>
                <w:szCs w:val="22"/>
                <w:lang w:val="pt-BR"/>
              </w:rPr>
              <w:t>Art. 3º Quando a pesquisa de preços for realizada com os fornecedores, estes deverão receber solicitação formal para apresentação de cotação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920" w:leftChars="0" w:right="189" w:firstLine="0" w:firstLineChars="0"/>
              <w:jc w:val="both"/>
              <w:rPr>
                <w:rFonts w:ascii="Calibri" w:hAnsi="Calibri" w:cs="Calibri"/>
                <w:color w:val="17375E" w:themeColor="text2" w:themeShade="BF"/>
                <w:sz w:val="22"/>
                <w:szCs w:val="22"/>
                <w:lang w:val="pt-BR"/>
              </w:rPr>
            </w:pP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920" w:leftChars="0" w:right="189" w:firstLine="0" w:firstLineChars="0"/>
              <w:jc w:val="both"/>
              <w:rPr>
                <w:rFonts w:ascii="Calibri" w:hAnsi="Calibri" w:cs="Calibri"/>
                <w:i/>
                <w:iCs/>
                <w:color w:val="17375E" w:themeColor="text2" w:themeShade="BF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i/>
                <w:iCs/>
                <w:color w:val="17375E" w:themeColor="text2" w:themeShade="BF"/>
                <w:sz w:val="22"/>
                <w:szCs w:val="22"/>
                <w:lang w:val="pt-BR"/>
              </w:rPr>
              <w:t>Parágrafo único. Deverá ser conferido aos fornecedores prazo de resposta compatível com a complexidade do objeto a ser licitado, o qual não será inferior a cinco dias úteis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640" w:right="189" w:firstLine="0"/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pt-BR"/>
              </w:rPr>
            </w:pPr>
          </w:p>
          <w:p>
            <w:pPr>
              <w:pStyle w:val="16"/>
              <w:spacing w:before="0" w:after="0" w:line="240" w:lineRule="auto"/>
              <w:ind w:left="220" w:right="189" w:firstLine="0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b w:val="0"/>
                <w:bCs/>
                <w:color w:val="auto"/>
                <w:position w:val="0"/>
                <w:sz w:val="22"/>
                <w:szCs w:val="22"/>
                <w:vertAlign w:val="baseline"/>
                <w:lang w:val="pt-BR"/>
              </w:rPr>
              <w:t xml:space="preserve">5.1 </w:t>
            </w:r>
            <w:r>
              <w:rPr>
                <w:rFonts w:ascii="Calibri" w:hAnsi="Calibri" w:cs="Times New Roman"/>
                <w:b/>
                <w:bCs/>
                <w:color w:val="auto"/>
                <w:position w:val="0"/>
                <w:sz w:val="22"/>
                <w:szCs w:val="22"/>
                <w:vertAlign w:val="baseline"/>
                <w:lang w:val="pt-BR"/>
              </w:rPr>
              <w:t>ESCOLHA E JUSTIFICATIVA DA SOLUÇÃO MAIS ADEQUADA PARA AQUISIÇÃO.</w:t>
            </w:r>
          </w:p>
          <w:p>
            <w:pPr>
              <w:spacing w:before="0" w:after="0" w:line="276" w:lineRule="auto"/>
              <w:ind w:left="0" w:right="0" w:firstLine="708"/>
              <w:jc w:val="both"/>
              <w:rPr>
                <w:sz w:val="6"/>
                <w:szCs w:val="6"/>
              </w:rPr>
            </w:pPr>
          </w:p>
          <w:p>
            <w:pPr>
              <w:spacing w:before="0" w:after="0" w:line="276" w:lineRule="auto"/>
              <w:ind w:left="0" w:right="0" w:firstLine="708"/>
              <w:jc w:val="both"/>
            </w:pPr>
            <w:commentRangeStart w:id="2"/>
            <w:r>
              <w:rPr>
                <w:rFonts w:ascii="Calibri" w:hAnsi="Calibri" w:cs="Times New Roman"/>
                <w:b w:val="0"/>
                <w:bCs/>
                <w:color w:val="auto"/>
                <w:position w:val="0"/>
                <w:sz w:val="20"/>
                <w:szCs w:val="20"/>
                <w:vertAlign w:val="baseline"/>
                <w:lang w:val="pt-BR"/>
              </w:rPr>
              <w:t xml:space="preserve">A opção da escolha pela aquisição pelo </w:t>
            </w:r>
            <w:r>
              <w:rPr>
                <w:rFonts w:ascii="Calibri" w:hAnsi="Calibri" w:cs="Times New Roman"/>
                <w:b w:val="0"/>
                <w:bCs/>
                <w:i/>
                <w:color w:val="FF0000"/>
                <w:position w:val="0"/>
                <w:sz w:val="20"/>
                <w:szCs w:val="20"/>
                <w:vertAlign w:val="baseline"/>
                <w:lang w:val="pt-BR"/>
              </w:rPr>
              <w:t>Sistema de Registro de Preços – SRP</w:t>
            </w:r>
            <w:r>
              <w:rPr>
                <w:rFonts w:ascii="Calibri" w:hAnsi="Calibri" w:cs="Times New Roman"/>
                <w:b w:val="0"/>
                <w:bCs/>
                <w:color w:val="auto"/>
                <w:position w:val="0"/>
                <w:sz w:val="20"/>
                <w:szCs w:val="20"/>
                <w:vertAlign w:val="baseline"/>
                <w:lang w:val="pt-BR"/>
              </w:rPr>
              <w:t xml:space="preserve"> decorre da característica de caráter continuado e a necessidade de aquisições parceladas, bem como do fato de que essa modalidade é a que melhor se coaduna com o planejamento institucional , inclusive no que se refere a logística de suprimento.</w:t>
            </w:r>
            <w:commentRangeEnd w:id="2"/>
            <w:r>
              <w:rPr>
                <w:rFonts w:ascii="Times New Roman" w:hAnsi="Times New Roman" w:cs="Times New Roman"/>
                <w:b w:val="0"/>
                <w:bCs/>
                <w:color w:val="FF0000"/>
                <w:position w:val="0"/>
                <w:sz w:val="24"/>
                <w:szCs w:val="24"/>
                <w:vertAlign w:val="baseline"/>
                <w:lang w:val="pt-BR"/>
              </w:rPr>
              <w:commentReference w:id="2"/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DESCRIÇÃO DA SOLUÇÃO COMO UM TODO: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919" w:leftChars="1327" w:right="189" w:firstLine="0" w:firstLineChars="0"/>
              <w:jc w:val="both"/>
              <w:rPr>
                <w:color w:val="17375E" w:themeColor="text2" w:themeShade="BF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(Descrever todos os elementos que devem ser produzidos/contratados/executados para que a contratação produza resultados pretendidos pela Administração)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2919" w:leftChars="1327" w:right="189" w:firstLine="0" w:firstLineChars="0"/>
              <w:jc w:val="both"/>
              <w:rPr>
                <w:sz w:val="6"/>
                <w:szCs w:val="6"/>
              </w:rPr>
            </w:pPr>
          </w:p>
          <w:p>
            <w:pPr>
              <w:widowControl w:val="0"/>
              <w:tabs>
                <w:tab w:val="left" w:pos="709"/>
                <w:tab w:val="left" w:pos="1134"/>
                <w:tab w:val="left" w:pos="1416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76" w:lineRule="auto"/>
              <w:ind w:left="2919" w:leftChars="1327" w:firstLine="0" w:firstLineChars="0"/>
              <w:jc w:val="both"/>
            </w:pPr>
            <w:commentRangeStart w:id="3"/>
            <w:r>
              <w:rPr>
                <w:rFonts w:ascii="Calibri" w:hAnsi="Calibri" w:eastAsia="Calibri" w:cs="Times New Roman"/>
                <w:color w:val="17375E" w:themeColor="text2" w:themeShade="BF"/>
                <w:kern w:val="0"/>
                <w:sz w:val="22"/>
                <w:szCs w:val="22"/>
                <w:lang w:eastAsia="en-US" w:bidi="ar-SA"/>
              </w:rPr>
              <w:t>Conforme fundamentação acima, especialmente no que tange à solução de mercado escolhida, esta Equipe de Planejamento, considera que a aquisição é viável, além de ser necessária para o atendimento das necessidades e interesses do Hospital Universitário de Lagarto.</w:t>
            </w:r>
            <w:commentRangeEnd w:id="3"/>
            <w:r>
              <w:rPr>
                <w:rFonts w:ascii="Times New Roman" w:hAnsi="Times New Roman" w:eastAsia="Calibri" w:cs="Times New Roman"/>
                <w:color w:val="17375E" w:themeColor="text2" w:themeShade="BF"/>
                <w:kern w:val="0"/>
                <w:sz w:val="24"/>
                <w:lang w:eastAsia="en-US" w:bidi="ar-SA"/>
              </w:rPr>
              <w:commentReference w:id="3"/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JUSTIFICATIVAS PARA O PARCELAMENTO OU NÃO DA SOLUÇÃO: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*preenchimento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numPr>
                <w:ilvl w:val="0"/>
                <w:numId w:val="3"/>
              </w:numPr>
              <w:tabs>
                <w:tab w:val="clear" w:pos="420"/>
              </w:tabs>
              <w:spacing w:before="0" w:after="0" w:line="240" w:lineRule="auto"/>
              <w:ind w:left="3337" w:leftChars="1327" w:right="189" w:hanging="418" w:hangingChars="209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</w:t>
            </w: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044" w:leftChars="1327" w:right="189" w:hanging="125" w:hangingChars="209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</w:rPr>
            </w:pPr>
          </w:p>
          <w:p>
            <w:pPr>
              <w:pStyle w:val="16"/>
              <w:numPr>
                <w:ilvl w:val="0"/>
                <w:numId w:val="3"/>
              </w:numPr>
              <w:tabs>
                <w:tab w:val="clear" w:pos="420"/>
              </w:tabs>
              <w:spacing w:before="0" w:after="0" w:line="240" w:lineRule="auto"/>
              <w:ind w:left="3337" w:leftChars="1327" w:right="189" w:hanging="418" w:hangingChars="209"/>
              <w:jc w:val="both"/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Definir e documentar o método para avaliar se o objeto é divisível, levando em consideração o mercado fornecedor, podendo ser parcelado caso a contratação nesses moldes assegure, concomitantemente: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758" w:leftChars="1519" w:right="189" w:hanging="416" w:hangingChars="208"/>
              <w:jc w:val="both"/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1 - ser técnica e economicamente viável;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758" w:leftChars="1519" w:right="189" w:hanging="416" w:hangingChars="208"/>
              <w:jc w:val="both"/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2 - que não haverá perda de escala; e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758" w:leftChars="1519" w:right="189" w:hanging="416" w:hangingChars="208"/>
              <w:jc w:val="both"/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3 - que haverá melhor aproveitamento do mercado e ampliação da competitividade.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50"/>
      </w:tblGrid>
      <w:tr>
        <w:tblPrEx>
          <w:tblLayout w:type="fixed"/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1F3863"/>
            <w:noWrap w:val="0"/>
            <w:vAlign w:val="center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RESULTADOS PRETENDIDOS:</w:t>
            </w:r>
            <w:r>
              <w:rPr>
                <w:rFonts w:hint="default"/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 xml:space="preserve">    </w:t>
            </w:r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 xml:space="preserve"> *pre</w:t>
            </w:r>
            <w:bookmarkStart w:id="0" w:name="_GoBack"/>
            <w:bookmarkEnd w:id="0"/>
            <w:r>
              <w:rPr>
                <w:rFonts w:hint="default"/>
                <w:b/>
                <w:bCs w:val="0"/>
                <w:position w:val="0"/>
                <w:sz w:val="14"/>
                <w:szCs w:val="14"/>
                <w:vertAlign w:val="baseline"/>
                <w:lang w:val="pt-BR"/>
              </w:rPr>
              <w:t>enchimento obrigatório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pStyle w:val="16"/>
              <w:numPr>
                <w:ilvl w:val="0"/>
                <w:numId w:val="3"/>
              </w:numPr>
              <w:tabs>
                <w:tab w:val="clear" w:pos="420"/>
              </w:tabs>
              <w:spacing w:before="0" w:after="0" w:line="240" w:lineRule="auto"/>
              <w:ind w:left="3337" w:leftChars="1327" w:right="189" w:hanging="418" w:hangingChars="209"/>
              <w:jc w:val="both"/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Art. 24: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337" w:leftChars="1327" w:right="189" w:hanging="418" w:hangingChars="209"/>
              <w:jc w:val="both"/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IX - demonstrativo dos resultados pretendidos em termos de economicidade e de melhor aproveitamento dos recursos humanos, materiais ou financeiros disponíveis</w:t>
            </w:r>
            <w:r>
              <w:rPr>
                <w:rFonts w:ascii="Calibri" w:hAnsi="Calibri" w:cs="Calibri"/>
                <w:color w:val="17375E" w:themeColor="text2" w:themeShade="BF"/>
                <w:sz w:val="20"/>
                <w:szCs w:val="20"/>
              </w:rPr>
              <w:t>;</w:t>
            </w: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044" w:leftChars="1327" w:right="189" w:hanging="125" w:hangingChars="209"/>
              <w:jc w:val="both"/>
              <w:rPr>
                <w:rFonts w:ascii="Calibri" w:hAnsi="Calibri" w:cs="Calibri"/>
                <w:color w:val="17375E" w:themeColor="text2" w:themeShade="BF"/>
                <w:sz w:val="6"/>
                <w:szCs w:val="6"/>
              </w:rPr>
            </w:pPr>
          </w:p>
          <w:p>
            <w:pPr>
              <w:pStyle w:val="16"/>
              <w:numPr>
                <w:ilvl w:val="0"/>
                <w:numId w:val="0"/>
              </w:numPr>
              <w:spacing w:before="0" w:after="0" w:line="240" w:lineRule="auto"/>
              <w:ind w:left="3337" w:leftChars="1327" w:right="189" w:hanging="418" w:hangingChars="209"/>
              <w:jc w:val="both"/>
            </w:pPr>
            <w:r>
              <w:rPr>
                <w:rFonts w:ascii="Calibri" w:hAnsi="Calibri"/>
                <w:color w:val="17375E" w:themeColor="text2" w:themeShade="BF"/>
                <w:sz w:val="20"/>
                <w:szCs w:val="20"/>
                <w:lang w:val="pt-BR"/>
              </w:rPr>
              <w:t>XI - contratações correlatas e/ou interdependentes; e juntar XII - declaração da viabilidade ou não da contratação.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overflowPunct w:val="0"/>
        <w:bidi w:val="0"/>
        <w:spacing w:before="0" w:after="0" w:line="240" w:lineRule="auto"/>
        <w:ind w:left="0" w:right="0" w:firstLine="0"/>
        <w:jc w:val="both"/>
        <w:textAlignment w:val="auto"/>
        <w:rPr>
          <w:b w:val="0"/>
          <w:bCs/>
          <w:sz w:val="10"/>
          <w:szCs w:val="10"/>
          <w:lang w:val="pt-BR"/>
        </w:rPr>
      </w:pPr>
    </w:p>
    <w:tbl>
      <w:tblPr>
        <w:tblStyle w:val="10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528"/>
        <w:gridCol w:w="2972"/>
        <w:gridCol w:w="315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3863"/>
            <w:noWrap w:val="0"/>
            <w:vAlign w:val="top"/>
          </w:tcPr>
          <w:p>
            <w:pPr>
              <w:pStyle w:val="14"/>
              <w:keepNext w:val="0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bidi w:val="0"/>
              <w:spacing w:before="0" w:after="0" w:line="240" w:lineRule="auto"/>
              <w:ind w:left="0" w:leftChars="0" w:right="73" w:firstLine="0" w:firstLineChars="0"/>
              <w:jc w:val="both"/>
              <w:textAlignment w:val="auto"/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 w:val="0"/>
                <w:position w:val="0"/>
                <w:sz w:val="24"/>
                <w:szCs w:val="24"/>
                <w:vertAlign w:val="baseline"/>
                <w:lang w:val="pt-BR"/>
              </w:rPr>
              <w:t>RESPONSABILIDADE DA EQUIPE DE PLANEJAMENTO PELA ELABORAÇÃO E CONTEÚDO DO DOCUMENTO.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both"/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Certificamos que somos responsáveis pela elaboração do presente documento que compila os Estudos Preliminares da Secretaria </w:t>
            </w:r>
            <w:r>
              <w:rPr>
                <w:rFonts w:cs="Calibri"/>
                <w:b w:val="0"/>
                <w:bCs w:val="0"/>
                <w:sz w:val="22"/>
                <w:szCs w:val="22"/>
                <w:lang w:val="pt-BR"/>
              </w:rPr>
              <w:t>p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articipante e que o mesmo traz os conteúdos previstos na Instrução Normativa nº </w:t>
            </w:r>
            <w:r>
              <w:rPr>
                <w:rFonts w:cs="Calibri"/>
                <w:b w:val="0"/>
                <w:bCs w:val="0"/>
                <w:sz w:val="22"/>
                <w:szCs w:val="22"/>
                <w:lang w:val="pt-BR"/>
              </w:rPr>
              <w:t>0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>5/2017, conforme diretrizes estabelecidas .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hint="default" w:cs="Calibri"/>
                <w:b/>
                <w:bCs/>
                <w:sz w:val="20"/>
                <w:lang w:val="pt-BR"/>
              </w:rPr>
            </w:pPr>
            <w:r>
              <w:rPr>
                <w:rFonts w:hint="default" w:cs="Calibri"/>
                <w:b/>
                <w:bCs/>
                <w:sz w:val="20"/>
                <w:lang w:val="pt-BR"/>
              </w:rPr>
              <w:t>Gestor: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00000A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hint="default" w:cs="Calibri"/>
                <w:b/>
                <w:bCs/>
                <w:sz w:val="20"/>
                <w:lang w:val="pt-BR"/>
              </w:rPr>
            </w:pPr>
            <w:r>
              <w:rPr>
                <w:rFonts w:hint="default" w:cs="Calibri"/>
                <w:b/>
                <w:bCs/>
                <w:sz w:val="20"/>
                <w:lang w:val="pt-BR"/>
              </w:rPr>
              <w:t>Apoio Técnico: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hint="default" w:cs="Calibri"/>
                <w:b/>
                <w:bCs/>
                <w:sz w:val="20"/>
                <w:lang w:val="pt-BR"/>
              </w:rPr>
            </w:pPr>
            <w:r>
              <w:rPr>
                <w:rFonts w:hint="default" w:cs="Calibri"/>
                <w:b/>
                <w:bCs/>
                <w:sz w:val="20"/>
                <w:lang w:val="pt-BR"/>
              </w:rPr>
              <w:t>De acordo;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52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cs="Calibri"/>
                <w:sz w:val="20"/>
                <w:lang w:val="pt-BR"/>
              </w:rPr>
            </w:pPr>
          </w:p>
        </w:tc>
        <w:tc>
          <w:tcPr>
            <w:tcW w:w="2972" w:type="dxa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cs="Calibri"/>
                <w:sz w:val="20"/>
                <w:lang w:val="pt-BR"/>
              </w:rPr>
            </w:pPr>
          </w:p>
        </w:tc>
        <w:tc>
          <w:tcPr>
            <w:tcW w:w="315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cs="Calibri"/>
                <w:sz w:val="20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</w:rPr>
            </w:pPr>
          </w:p>
        </w:tc>
        <w:tc>
          <w:tcPr>
            <w:tcW w:w="2972" w:type="dxa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</w:rPr>
            </w:pPr>
          </w:p>
        </w:tc>
      </w:tr>
      <w:tr>
        <w:tblPrEx>
          <w:tblLayout w:type="fixed"/>
        </w:tblPrEx>
        <w:tc>
          <w:tcPr>
            <w:tcW w:w="352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</w:rPr>
            </w:pPr>
            <w:r>
              <w:rPr>
                <w:rStyle w:val="23"/>
                <w:rFonts w:cs="Calibri"/>
              </w:rPr>
              <w:t>________________________</w:t>
            </w:r>
          </w:p>
        </w:tc>
        <w:tc>
          <w:tcPr>
            <w:tcW w:w="2972" w:type="dxa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</w:rPr>
            </w:pPr>
            <w:r>
              <w:rPr>
                <w:rStyle w:val="23"/>
                <w:rFonts w:cs="Calibri"/>
              </w:rPr>
              <w:t>________________________</w:t>
            </w:r>
          </w:p>
        </w:tc>
        <w:tc>
          <w:tcPr>
            <w:tcW w:w="315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</w:pPr>
            <w:r>
              <w:rPr>
                <w:rStyle w:val="23"/>
                <w:rFonts w:cs="Calibri"/>
              </w:rPr>
              <w:t>________________________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b/>
                <w:sz w:val="20"/>
              </w:rPr>
            </w:pPr>
            <w:r>
              <w:rPr>
                <w:rStyle w:val="23"/>
                <w:rFonts w:cs="Calibri"/>
                <w:b/>
                <w:sz w:val="20"/>
              </w:rPr>
              <w:t>&lt;Nome&gt;</w:t>
            </w:r>
          </w:p>
        </w:tc>
        <w:tc>
          <w:tcPr>
            <w:tcW w:w="2972" w:type="dxa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b/>
                <w:sz w:val="20"/>
              </w:rPr>
            </w:pPr>
            <w:r>
              <w:rPr>
                <w:rStyle w:val="23"/>
                <w:rFonts w:cs="Calibri"/>
                <w:b/>
                <w:sz w:val="20"/>
              </w:rPr>
              <w:t>&lt;Nome&gt;</w:t>
            </w:r>
          </w:p>
        </w:tc>
        <w:tc>
          <w:tcPr>
            <w:tcW w:w="315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</w:pPr>
            <w:r>
              <w:rPr>
                <w:rStyle w:val="23"/>
                <w:rFonts w:cs="Calibri"/>
                <w:b/>
                <w:sz w:val="20"/>
              </w:rPr>
              <w:t>&lt;Nome&gt;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sz w:val="16"/>
              </w:rPr>
            </w:pPr>
            <w:r>
              <w:rPr>
                <w:rStyle w:val="23"/>
                <w:rFonts w:cs="Calibri"/>
                <w:sz w:val="16"/>
              </w:rPr>
              <w:t>Matr.: &lt;Nº matrícula&gt;</w:t>
            </w:r>
          </w:p>
        </w:tc>
        <w:tc>
          <w:tcPr>
            <w:tcW w:w="2972" w:type="dxa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sz w:val="16"/>
              </w:rPr>
            </w:pPr>
            <w:r>
              <w:rPr>
                <w:rStyle w:val="23"/>
                <w:rFonts w:cs="Calibri"/>
                <w:sz w:val="16"/>
              </w:rPr>
              <w:t>Matr.: &lt;Nº matrícula&gt;</w:t>
            </w:r>
          </w:p>
        </w:tc>
        <w:tc>
          <w:tcPr>
            <w:tcW w:w="315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</w:pPr>
            <w:r>
              <w:rPr>
                <w:rStyle w:val="23"/>
                <w:rFonts w:cs="Calibri"/>
                <w:sz w:val="16"/>
              </w:rPr>
              <w:t>Matr.: &lt;Nº matrícula&gt;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sz w:val="16"/>
                <w:lang w:val="pt-BR"/>
              </w:rPr>
            </w:pPr>
            <w:r>
              <w:rPr>
                <w:rStyle w:val="23"/>
                <w:rFonts w:cs="Calibri"/>
                <w:sz w:val="16"/>
                <w:lang w:val="pt-BR"/>
              </w:rPr>
              <w:t>&lt;Carimbo&gt;</w:t>
            </w:r>
          </w:p>
        </w:tc>
        <w:tc>
          <w:tcPr>
            <w:tcW w:w="2972" w:type="dxa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Style w:val="23"/>
                <w:rFonts w:cs="Calibri"/>
                <w:sz w:val="16"/>
                <w:lang w:val="pt-BR"/>
              </w:rPr>
            </w:pPr>
            <w:r>
              <w:rPr>
                <w:rStyle w:val="23"/>
                <w:rFonts w:cs="Calibri"/>
                <w:sz w:val="16"/>
                <w:lang w:val="pt-BR"/>
              </w:rPr>
              <w:t>&lt;Carimbo&gt;</w:t>
            </w:r>
          </w:p>
        </w:tc>
        <w:tc>
          <w:tcPr>
            <w:tcW w:w="315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</w:pPr>
            <w:r>
              <w:rPr>
                <w:rStyle w:val="23"/>
                <w:rFonts w:cs="Calibri"/>
                <w:sz w:val="16"/>
                <w:lang w:val="pt-BR"/>
              </w:rPr>
              <w:t>&lt;Carimbo&gt;</w:t>
            </w:r>
          </w:p>
        </w:tc>
      </w:tr>
      <w:tr>
        <w:tblPrEx>
          <w:tblLayout w:type="fixed"/>
        </w:tblPrEx>
        <w:tc>
          <w:tcPr>
            <w:tcW w:w="3528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2972" w:type="dxa"/>
            <w:tcBorders>
              <w:top w:val="single" w:color="00000A" w:sz="4" w:space="0"/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315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cs="Calibri"/>
                <w:sz w:val="11"/>
                <w:szCs w:val="11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jc w:val="center"/>
            </w:pPr>
            <w:r>
              <w:rPr>
                <w:rStyle w:val="23"/>
                <w:rFonts w:cs="Calibri"/>
                <w:sz w:val="22"/>
                <w:szCs w:val="22"/>
                <w:lang w:val="pt-BR"/>
              </w:rPr>
              <w:t>Nova Friburgo/RJ, xx de xxxxxxxxxxxx de 20.....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528" w:type="dxa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2972" w:type="dxa"/>
            <w:tcBorders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15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240" w:lineRule="auto"/>
              <w:rPr>
                <w:rFonts w:cs="Calibri"/>
                <w:sz w:val="4"/>
                <w:szCs w:val="4"/>
              </w:rPr>
            </w:pPr>
          </w:p>
        </w:tc>
      </w:tr>
    </w:tbl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headerReference r:id="rId6" w:type="first"/>
      <w:headerReference r:id="rId5" w:type="default"/>
      <w:pgSz w:w="11906" w:h="16838"/>
      <w:pgMar w:top="766" w:right="1134" w:bottom="510" w:left="1701" w:header="709" w:footer="720" w:gutter="0"/>
      <w:pgNumType w:fmt="decimal"/>
      <w:cols w:space="720" w:num="1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 Andre De Almeida Barros" w:date="2018-11-06T13:35:00Z" w:initials="DADAB">
    <w:p w14:paraId="11D4713F">
      <w:r>
        <w:t>Descrever como foi definida a demanda a ser adquirida</w:t>
      </w:r>
    </w:p>
    <w:p w14:paraId="4B3639CA"/>
  </w:comment>
  <w:comment w:id="1" w:author="Daniel Andre De Almeida Barros" w:date="2018-11-06T14:51:00Z" w:initials="DADAB">
    <w:p w14:paraId="19A947BF">
      <w:r>
        <w:t>Manter o texto. Alterar o campo SOLICITANTE.</w:t>
      </w:r>
    </w:p>
    <w:p w14:paraId="64887F88"/>
  </w:comment>
  <w:comment w:id="2" w:author="Daniel Andre De Almeida Barros" w:date="2018-11-06T13:47:00Z" w:initials="DADAB">
    <w:p w14:paraId="3843355F">
      <w:r>
        <w:t>Alterar conforme o tipo de licitação.</w:t>
      </w:r>
    </w:p>
    <w:p w14:paraId="611D3093"/>
  </w:comment>
  <w:comment w:id="3" w:author="Daniel Andre De Almeida Barros" w:date="2018-11-06T13:48:00Z" w:initials="DADAB">
    <w:p w14:paraId="6D0B6DBF">
      <w:r>
        <w:t xml:space="preserve">Manter o texto. </w:t>
      </w:r>
    </w:p>
    <w:p w14:paraId="55443FC1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3639CA" w15:done="0"/>
  <w15:commentEx w15:paraId="64887F88" w15:done="0"/>
  <w15:commentEx w15:paraId="611D3093" w15:done="0"/>
  <w15:commentEx w15:paraId="55443F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3761740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96.2pt;margin-top:-2.45pt;height:21.7pt;width:79.45pt;z-index:-251649024;mso-width-relative:page;mso-height-relative:page;" fillcolor="#FFFFFF" filled="t" stroked="f" coordsize="21600,21600" o:gfxdata="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W6FEdgAAAAJ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XVII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5408;mso-width-relative:page;mso-height-relative:page;" filled="f" stroked="t" coordsize="21600,21600" o:gfxdata="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qYrdfXAAAACQEAAA8AAAAAAAAAAQAgAAAAIgAAAGRycy9kb3ducmV2LnhtbFBLAQIUABQAAAAI&#10;AIdO4kBQwJDGtQEAAFgDAAAOAAAAAAAAAAEAIAAAACYBAABkcnMvZTJvRG9jLnhtbFBLBQYAAAAA&#10;BgAGAFkBAABNBQAAAAA=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  <w:p>
    <w:pPr>
      <w:pStyle w:val="5"/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/>
        <w:sz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 Andre De Almeida Barros">
    <w15:presenceInfo w15:providerId="None" w15:userId="Daniel Andre De Almeida Bar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revisionView w:markup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936B0"/>
    <w:rsid w:val="16717FFE"/>
    <w:rsid w:val="21746825"/>
    <w:rsid w:val="35D936B0"/>
    <w:rsid w:val="7DC30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160" w:line="259" w:lineRule="auto"/>
      <w:jc w:val="left"/>
    </w:pPr>
    <w:rPr>
      <w:rFonts w:ascii="Calibri" w:hAnsi="Calibri" w:eastAsia="Calibri"/>
      <w:color w:val="auto"/>
      <w:kern w:val="1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uiPriority w:val="7"/>
    <w:pPr>
      <w:keepNext/>
      <w:tabs>
        <w:tab w:val="left" w:pos="0"/>
      </w:tabs>
      <w:suppressAutoHyphens/>
      <w:spacing w:before="0" w:after="0" w:line="240" w:lineRule="auto"/>
      <w:ind w:left="576" w:right="0" w:hanging="576"/>
    </w:pPr>
    <w:rPr>
      <w:rFonts w:ascii="Arial" w:hAnsi="Arial" w:eastAsia="Times New Roman" w:cs="Arial"/>
      <w:b/>
      <w:szCs w:val="24"/>
      <w:lang w:eastAsia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uiPriority w:val="7"/>
    <w:rPr>
      <w:rFonts w:cs="Mangal"/>
    </w:rPr>
  </w:style>
  <w:style w:type="paragraph" w:styleId="4">
    <w:name w:val="Body Text"/>
    <w:basedOn w:val="1"/>
    <w:uiPriority w:val="7"/>
    <w:pPr>
      <w:spacing w:before="0" w:after="140" w:line="288" w:lineRule="auto"/>
    </w:pPr>
  </w:style>
  <w:style w:type="paragraph" w:styleId="5">
    <w:name w:val="head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foot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9">
    <w:name w:val="Hyperlink"/>
    <w:uiPriority w:val="6"/>
    <w:rPr>
      <w:color w:val="000080"/>
      <w:u w:val="single"/>
    </w:rPr>
  </w:style>
  <w:style w:type="paragraph" w:customStyle="1" w:styleId="11">
    <w:name w:val="Título1"/>
    <w:basedOn w:val="1"/>
    <w:next w:val="4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Índice"/>
    <w:basedOn w:val="1"/>
    <w:uiPriority w:val="6"/>
    <w:pPr>
      <w:suppressLineNumbers/>
    </w:pPr>
    <w:rPr>
      <w:rFonts w:cs="Mangal"/>
    </w:rPr>
  </w:style>
  <w:style w:type="paragraph" w:customStyle="1" w:styleId="13">
    <w:name w:val="Balloon Text"/>
    <w:basedOn w:val="1"/>
    <w:uiPriority w:val="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uiPriority w:val="7"/>
    <w:pPr>
      <w:spacing w:before="0" w:after="160"/>
      <w:ind w:left="720" w:right="0" w:firstLine="0"/>
      <w:contextualSpacing/>
    </w:pPr>
  </w:style>
  <w:style w:type="paragraph" w:customStyle="1" w:styleId="15">
    <w:name w:val="Conteúdo da tabela"/>
    <w:basedOn w:val="1"/>
    <w:uiPriority w:val="6"/>
  </w:style>
  <w:style w:type="paragraph" w:customStyle="1" w:styleId="16">
    <w:name w:val="Standard"/>
    <w:uiPriority w:val="6"/>
    <w:pPr>
      <w:widowControl/>
      <w:suppressAutoHyphens/>
      <w:bidi w:val="0"/>
      <w:jc w:val="left"/>
    </w:pPr>
    <w:rPr>
      <w:rFonts w:ascii="Liberation Serif" w:hAnsi="Liberation Serif" w:eastAsia="SimSun" w:cs="Mangal"/>
      <w:color w:val="00000A"/>
      <w:kern w:val="1"/>
      <w:sz w:val="24"/>
      <w:szCs w:val="24"/>
      <w:lang w:val="pt-BR" w:eastAsia="zh-CN" w:bidi="hi-IN"/>
    </w:rPr>
  </w:style>
  <w:style w:type="paragraph" w:customStyle="1" w:styleId="17">
    <w:name w:val="Conteúdo do quadro"/>
    <w:basedOn w:val="1"/>
    <w:uiPriority w:val="6"/>
  </w:style>
  <w:style w:type="paragraph" w:customStyle="1" w:styleId="18">
    <w:name w:val="Título de tabela"/>
    <w:basedOn w:val="15"/>
    <w:uiPriority w:val="7"/>
  </w:style>
  <w:style w:type="character" w:customStyle="1" w:styleId="19">
    <w:name w:val="Default Paragraph Font"/>
    <w:uiPriority w:val="6"/>
  </w:style>
  <w:style w:type="character" w:customStyle="1" w:styleId="20">
    <w:name w:val="Título 2 Char"/>
    <w:basedOn w:val="19"/>
    <w:uiPriority w:val="7"/>
    <w:rPr>
      <w:rFonts w:ascii="Arial" w:hAnsi="Arial" w:eastAsia="Times New Roman" w:cs="Arial"/>
      <w:b/>
      <w:szCs w:val="24"/>
      <w:lang w:eastAsia="ar-SA"/>
    </w:rPr>
  </w:style>
  <w:style w:type="character" w:customStyle="1" w:styleId="21">
    <w:name w:val="Cabeçalho Char"/>
    <w:basedOn w:val="19"/>
    <w:uiPriority w:val="6"/>
  </w:style>
  <w:style w:type="character" w:customStyle="1" w:styleId="22">
    <w:name w:val="Rodapé Char"/>
    <w:basedOn w:val="19"/>
    <w:uiPriority w:val="6"/>
  </w:style>
  <w:style w:type="character" w:customStyle="1" w:styleId="23">
    <w:name w:val="tex3"/>
    <w:basedOn w:val="19"/>
    <w:uiPriority w:val="7"/>
  </w:style>
  <w:style w:type="character" w:customStyle="1" w:styleId="24">
    <w:name w:val="Texto de balão Char"/>
    <w:basedOn w:val="19"/>
    <w:uiPriority w:val="7"/>
    <w:rPr>
      <w:rFonts w:ascii="Segoe UI" w:hAnsi="Segoe UI" w:cs="Segoe UI"/>
      <w:sz w:val="18"/>
      <w:szCs w:val="18"/>
    </w:rPr>
  </w:style>
  <w:style w:type="character" w:customStyle="1" w:styleId="25">
    <w:name w:val="ListLabel 1"/>
    <w:uiPriority w:val="7"/>
    <w:rPr>
      <w:rFonts w:ascii="Calibri" w:hAnsi="Calibri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otina%20administrativa\V4\anexos\estudos%20preliminares\Ronaldo%20Sampaio%20Analise%20%20Controladoria%20%20-%20Anexo%20XVII%20-%20Estudos%20Preliminar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Ronaldo Sampaio Analise  Controladoria  - Anexo XVII - Estudos Preliminares.dot</Template>
  <Pages>5</Pages>
  <Words>2117</Words>
  <Characters>11925</Characters>
  <TotalTime>3</TotalTime>
  <ScaleCrop>false</ScaleCrop>
  <LinksUpToDate>false</LinksUpToDate>
  <CharactersWithSpaces>13904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2019-09-25T17:46:00Z</dcterms:created>
  <dc:creator>google1562890699</dc:creator>
  <cp:lastModifiedBy>google1562890699</cp:lastModifiedBy>
  <dcterms:modified xsi:type="dcterms:W3CDTF">2019-09-25T18:52:58Z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1046-11.2.0.8970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